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C64" w:rsidRDefault="002E0451" w:rsidP="00186C8E">
      <w:pPr>
        <w:rPr>
          <w:sz w:val="40"/>
          <w:lang w:val="en-GB"/>
        </w:rPr>
      </w:pPr>
      <w:r>
        <w:pict>
          <v:shapetype id="_x0000_t202" coordsize="21600,21600" o:spt="202" path="m,l,21600r21600,l21600,xe">
            <v:stroke joinstyle="miter"/>
            <v:path gradientshapeok="t" o:connecttype="rect"/>
          </v:shapetype>
          <v:shape id="_x0000_s1026" type="#_x0000_t202" style="position:absolute;margin-left:19.5pt;margin-top:20.55pt;width:153pt;height:69pt;z-index:251661312" filled="f" stroked="f">
            <v:textbox>
              <w:txbxContent>
                <w:p w:rsidR="002E0451" w:rsidRPr="002E0451" w:rsidRDefault="002E0451" w:rsidP="002E0451">
                  <w:pPr>
                    <w:jc w:val="center"/>
                    <w:rPr>
                      <w:b/>
                      <w:color w:val="31849B" w:themeColor="accent5" w:themeShade="BF"/>
                      <w:sz w:val="32"/>
                      <w:szCs w:val="32"/>
                      <w:u w:val="single"/>
                    </w:rPr>
                  </w:pPr>
                  <w:r w:rsidRPr="002E0451">
                    <w:rPr>
                      <w:b/>
                      <w:color w:val="31849B" w:themeColor="accent5" w:themeShade="BF"/>
                      <w:sz w:val="32"/>
                      <w:szCs w:val="32"/>
                      <w:u w:val="single"/>
                    </w:rPr>
                    <w:t>TDS 40</w:t>
                  </w:r>
                </w:p>
                <w:p w:rsidR="002E0451" w:rsidRPr="002E0451" w:rsidRDefault="002E0451" w:rsidP="002E0451">
                  <w:pPr>
                    <w:jc w:val="center"/>
                    <w:rPr>
                      <w:u w:val="single"/>
                    </w:rPr>
                  </w:pPr>
                  <w:r w:rsidRPr="002E0451">
                    <w:rPr>
                      <w:b/>
                      <w:color w:val="31849B" w:themeColor="accent5" w:themeShade="BF"/>
                      <w:sz w:val="32"/>
                      <w:szCs w:val="32"/>
                      <w:u w:val="single"/>
                    </w:rPr>
                    <w:t>Crushed Glass</w:t>
                  </w:r>
                </w:p>
              </w:txbxContent>
            </v:textbox>
          </v:shape>
        </w:pict>
      </w:r>
      <w:r w:rsidR="00BE3159">
        <w:rPr>
          <w:noProof/>
          <w:sz w:val="40"/>
          <w:lang w:val="en-GB" w:eastAsia="en-GB"/>
        </w:rPr>
        <w:drawing>
          <wp:anchor distT="0" distB="0" distL="114300" distR="114300" simplePos="0" relativeHeight="251659264" behindDoc="0" locked="0" layoutInCell="1" allowOverlap="1">
            <wp:simplePos x="0" y="0"/>
            <wp:positionH relativeFrom="column">
              <wp:posOffset>3962400</wp:posOffset>
            </wp:positionH>
            <wp:positionV relativeFrom="paragraph">
              <wp:posOffset>0</wp:posOffset>
            </wp:positionV>
            <wp:extent cx="2352675" cy="1019175"/>
            <wp:effectExtent l="19050" t="0" r="9525" b="0"/>
            <wp:wrapSquare wrapText="bothSides"/>
            <wp:docPr id="2" name="Picture 1" descr="\\ScottHaley-PC\DServer\The Resin Mill\Images\Company Logo\ResinMill_Logo_CMYK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Haley-PC\DServer\The Resin Mill\Images\Company Logo\ResinMill_Logo_CMYK_HiRes.jpg"/>
                    <pic:cNvPicPr>
                      <a:picLocks noChangeAspect="1" noChangeArrowheads="1"/>
                    </pic:cNvPicPr>
                  </pic:nvPicPr>
                  <pic:blipFill>
                    <a:blip r:embed="rId7" cstate="print"/>
                    <a:srcRect/>
                    <a:stretch>
                      <a:fillRect/>
                    </a:stretch>
                  </pic:blipFill>
                  <pic:spPr bwMode="auto">
                    <a:xfrm>
                      <a:off x="0" y="0"/>
                      <a:ext cx="2352675" cy="1019175"/>
                    </a:xfrm>
                    <a:prstGeom prst="rect">
                      <a:avLst/>
                    </a:prstGeom>
                    <a:noFill/>
                    <a:ln w="9525">
                      <a:noFill/>
                      <a:miter lim="800000"/>
                      <a:headEnd/>
                      <a:tailEnd/>
                    </a:ln>
                  </pic:spPr>
                </pic:pic>
              </a:graphicData>
            </a:graphic>
          </wp:anchor>
        </w:drawing>
      </w:r>
      <w:r w:rsidR="00F20C64">
        <w:rPr>
          <w:sz w:val="40"/>
          <w:lang w:val="en-GB"/>
        </w:rPr>
        <w:t xml:space="preserve">                                                          </w:t>
      </w:r>
    </w:p>
    <w:p w:rsidR="00F20C64" w:rsidRDefault="00F20C64" w:rsidP="00186C8E">
      <w:pPr>
        <w:rPr>
          <w:sz w:val="40"/>
          <w:lang w:val="en-GB"/>
        </w:rPr>
      </w:pPr>
    </w:p>
    <w:p w:rsidR="002E0451" w:rsidRDefault="002E0451" w:rsidP="00186C8E">
      <w:pPr>
        <w:rPr>
          <w:sz w:val="40"/>
          <w:lang w:val="en-GB"/>
        </w:rPr>
      </w:pPr>
    </w:p>
    <w:p w:rsidR="002E0451" w:rsidRDefault="002E0451" w:rsidP="002E0451">
      <w:pPr>
        <w:rPr>
          <w:i/>
          <w:noProof/>
        </w:rPr>
      </w:pPr>
    </w:p>
    <w:p w:rsidR="002E0451" w:rsidRDefault="002E0451" w:rsidP="002E0451">
      <w:pPr>
        <w:rPr>
          <w:i/>
          <w:noProof/>
        </w:rPr>
      </w:pPr>
    </w:p>
    <w:p w:rsidR="002E0451" w:rsidRDefault="002E0451" w:rsidP="002E0451">
      <w:pPr>
        <w:shd w:val="clear" w:color="auto" w:fill="92CDDC" w:themeFill="accent5" w:themeFillTint="99"/>
        <w:jc w:val="center"/>
        <w:rPr>
          <w:b/>
          <w:sz w:val="40"/>
          <w:szCs w:val="40"/>
        </w:rPr>
      </w:pPr>
      <w:r>
        <w:rPr>
          <w:b/>
          <w:sz w:val="40"/>
          <w:szCs w:val="40"/>
        </w:rPr>
        <w:t xml:space="preserve">Technical Data Sheet </w:t>
      </w:r>
    </w:p>
    <w:p w:rsidR="002E0451" w:rsidRDefault="002E0451" w:rsidP="002E0451">
      <w:pPr>
        <w:shd w:val="clear" w:color="auto" w:fill="92CDDC" w:themeFill="accent5" w:themeFillTint="99"/>
        <w:jc w:val="center"/>
        <w:rPr>
          <w:b/>
          <w:sz w:val="40"/>
          <w:szCs w:val="40"/>
        </w:rPr>
      </w:pPr>
      <w:r>
        <w:rPr>
          <w:b/>
          <w:sz w:val="40"/>
          <w:szCs w:val="40"/>
        </w:rPr>
        <w:t>Commercial Glass Bead</w:t>
      </w:r>
    </w:p>
    <w:p w:rsidR="002E0451" w:rsidRDefault="002E0451" w:rsidP="002E0451">
      <w:pPr>
        <w:shd w:val="clear" w:color="auto" w:fill="92CDDC" w:themeFill="accent5" w:themeFillTint="99"/>
        <w:rPr>
          <w:i/>
          <w:noProof/>
        </w:rPr>
      </w:pPr>
    </w:p>
    <w:p w:rsidR="002E0451" w:rsidRDefault="002E0451" w:rsidP="002E0451">
      <w:pPr>
        <w:tabs>
          <w:tab w:val="left" w:pos="8160"/>
        </w:tabs>
        <w:rPr>
          <w:i/>
          <w:noProof/>
        </w:rPr>
      </w:pPr>
      <w:r>
        <w:rPr>
          <w:i/>
          <w:noProof/>
        </w:rPr>
        <w:tab/>
      </w:r>
    </w:p>
    <w:p w:rsidR="002E0451" w:rsidRDefault="002E0451" w:rsidP="002E0451">
      <w:pPr>
        <w:rPr>
          <w:noProof/>
          <w:sz w:val="22"/>
          <w:szCs w:val="22"/>
        </w:rPr>
      </w:pPr>
      <w:r>
        <w:rPr>
          <w:noProof/>
        </w:rPr>
        <w:t>T</w:t>
      </w:r>
      <w:r>
        <w:rPr>
          <w:noProof/>
          <w:sz w:val="22"/>
          <w:szCs w:val="22"/>
        </w:rPr>
        <w:t>rade Name:</w:t>
      </w:r>
      <w:r>
        <w:rPr>
          <w:noProof/>
          <w:sz w:val="22"/>
          <w:szCs w:val="22"/>
        </w:rPr>
        <w:tab/>
      </w:r>
      <w:r>
        <w:rPr>
          <w:noProof/>
          <w:sz w:val="22"/>
          <w:szCs w:val="22"/>
        </w:rPr>
        <w:tab/>
      </w:r>
      <w:r>
        <w:rPr>
          <w:noProof/>
          <w:sz w:val="22"/>
          <w:szCs w:val="22"/>
        </w:rPr>
        <w:tab/>
        <w:t>Beadomac</w:t>
      </w:r>
    </w:p>
    <w:p w:rsidR="002E0451" w:rsidRDefault="002E0451" w:rsidP="002E0451">
      <w:pPr>
        <w:rPr>
          <w:noProof/>
          <w:sz w:val="22"/>
          <w:szCs w:val="22"/>
        </w:rPr>
      </w:pPr>
      <w:r>
        <w:rPr>
          <w:noProof/>
          <w:sz w:val="22"/>
          <w:szCs w:val="22"/>
        </w:rPr>
        <w:t>Original Issue Date:</w:t>
      </w:r>
      <w:r>
        <w:rPr>
          <w:noProof/>
          <w:sz w:val="22"/>
          <w:szCs w:val="22"/>
        </w:rPr>
        <w:tab/>
      </w:r>
      <w:r>
        <w:rPr>
          <w:noProof/>
          <w:sz w:val="22"/>
          <w:szCs w:val="22"/>
        </w:rPr>
        <w:tab/>
        <w:t>February 2011 (by Mac’Ants)</w:t>
      </w:r>
    </w:p>
    <w:p w:rsidR="002E0451" w:rsidRDefault="002E0451" w:rsidP="002E0451">
      <w:pPr>
        <w:rPr>
          <w:noProof/>
        </w:rPr>
      </w:pPr>
      <w:r>
        <w:rPr>
          <w:noProof/>
          <w:sz w:val="22"/>
          <w:szCs w:val="22"/>
        </w:rPr>
        <w:t>This Issue:</w:t>
      </w:r>
      <w:r>
        <w:rPr>
          <w:noProof/>
          <w:sz w:val="22"/>
          <w:szCs w:val="22"/>
        </w:rPr>
        <w:tab/>
      </w:r>
      <w:r>
        <w:rPr>
          <w:noProof/>
          <w:sz w:val="22"/>
          <w:szCs w:val="22"/>
        </w:rPr>
        <w:tab/>
      </w:r>
      <w:r>
        <w:rPr>
          <w:noProof/>
          <w:sz w:val="22"/>
          <w:szCs w:val="22"/>
        </w:rPr>
        <w:tab/>
        <w:t>February 2016</w:t>
      </w:r>
      <w:r>
        <w:rPr>
          <w:noProof/>
        </w:rPr>
        <w:tab/>
      </w:r>
    </w:p>
    <w:p w:rsidR="002E0451" w:rsidRDefault="002E0451" w:rsidP="002E0451">
      <w:pPr>
        <w:rPr>
          <w:noProof/>
        </w:rPr>
      </w:pPr>
    </w:p>
    <w:p w:rsidR="002E0451" w:rsidRDefault="002E0451" w:rsidP="002E0451">
      <w:pPr>
        <w:shd w:val="clear" w:color="auto" w:fill="92CDDC" w:themeFill="accent5" w:themeFillTint="99"/>
        <w:jc w:val="center"/>
        <w:rPr>
          <w:b/>
          <w:sz w:val="36"/>
          <w:szCs w:val="36"/>
        </w:rPr>
      </w:pPr>
      <w:r>
        <w:rPr>
          <w:b/>
          <w:sz w:val="36"/>
          <w:szCs w:val="36"/>
        </w:rPr>
        <w:t>SECTION 1</w:t>
      </w:r>
    </w:p>
    <w:p w:rsidR="002E0451" w:rsidRDefault="002E0451" w:rsidP="002E0451">
      <w:pPr>
        <w:shd w:val="clear" w:color="auto" w:fill="92CDDC" w:themeFill="accent5" w:themeFillTint="99"/>
        <w:jc w:val="center"/>
        <w:rPr>
          <w:b/>
          <w:sz w:val="36"/>
          <w:szCs w:val="36"/>
        </w:rPr>
      </w:pPr>
      <w:r>
        <w:rPr>
          <w:b/>
          <w:sz w:val="36"/>
          <w:szCs w:val="36"/>
        </w:rPr>
        <w:t xml:space="preserve"> Chemical Analysis</w:t>
      </w:r>
    </w:p>
    <w:p w:rsidR="002E0451" w:rsidRDefault="002E0451" w:rsidP="002E0451">
      <w:pPr>
        <w:shd w:val="clear" w:color="auto" w:fill="92CDDC" w:themeFill="accent5" w:themeFillTint="99"/>
        <w:rPr>
          <w:noProof/>
          <w:sz w:val="22"/>
          <w:szCs w:val="22"/>
        </w:rPr>
      </w:pPr>
    </w:p>
    <w:p w:rsidR="002E0451" w:rsidRDefault="002E0451" w:rsidP="002E0451">
      <w:pPr>
        <w:rPr>
          <w:sz w:val="22"/>
          <w:szCs w:val="22"/>
        </w:rPr>
      </w:pPr>
      <w:r>
        <w:rPr>
          <w:sz w:val="22"/>
          <w:szCs w:val="22"/>
        </w:rPr>
        <w:t xml:space="preserve">A range of prime commercial soda lime glass beads, noted for their spherical characteristic and consistent size distribution. Manufactured to BS6088 offering a broad range of standard industrial sizes. The use of glass beads in surface finishing applications imparts a </w:t>
      </w:r>
      <w:proofErr w:type="spellStart"/>
      <w:r>
        <w:rPr>
          <w:sz w:val="22"/>
          <w:szCs w:val="22"/>
        </w:rPr>
        <w:t>peening</w:t>
      </w:r>
      <w:proofErr w:type="spellEnd"/>
      <w:r>
        <w:rPr>
          <w:sz w:val="22"/>
          <w:szCs w:val="22"/>
        </w:rPr>
        <w:t xml:space="preserve">/ polished finish to metal components and is also </w:t>
      </w:r>
      <w:proofErr w:type="spellStart"/>
      <w:r>
        <w:rPr>
          <w:sz w:val="22"/>
          <w:szCs w:val="22"/>
        </w:rPr>
        <w:t>utilised</w:t>
      </w:r>
      <w:proofErr w:type="spellEnd"/>
      <w:r>
        <w:rPr>
          <w:sz w:val="22"/>
          <w:szCs w:val="22"/>
        </w:rPr>
        <w:t xml:space="preserve"> for its reflective ability in road marking and as a flow agent and functional filler in polymer manufacture among a myriad of other applications.</w:t>
      </w:r>
    </w:p>
    <w:p w:rsidR="002E0451" w:rsidRDefault="002E0451" w:rsidP="002E0451">
      <w:pPr>
        <w:rPr>
          <w:noProof/>
          <w:sz w:val="22"/>
          <w:szCs w:val="22"/>
        </w:rPr>
      </w:pPr>
    </w:p>
    <w:tbl>
      <w:tblPr>
        <w:tblW w:w="0" w:type="auto"/>
        <w:tblInd w:w="1502" w:type="dxa"/>
        <w:tblLayout w:type="fixed"/>
        <w:tblLook w:val="04A0"/>
      </w:tblPr>
      <w:tblGrid>
        <w:gridCol w:w="3085"/>
        <w:gridCol w:w="2126"/>
        <w:gridCol w:w="2268"/>
      </w:tblGrid>
      <w:tr w:rsidR="002E0451" w:rsidTr="002E0451">
        <w:trPr>
          <w:trHeight w:val="238"/>
        </w:trPr>
        <w:tc>
          <w:tcPr>
            <w:tcW w:w="3085" w:type="dxa"/>
            <w:vMerge w:val="restart"/>
            <w:tcBorders>
              <w:top w:val="single" w:sz="4" w:space="0" w:color="000000"/>
              <w:left w:val="single" w:sz="6" w:space="0" w:color="000000"/>
              <w:bottom w:val="single" w:sz="4" w:space="0" w:color="000000"/>
              <w:right w:val="single" w:sz="4" w:space="0" w:color="000000"/>
            </w:tcBorders>
            <w:vAlign w:val="center"/>
            <w:hideMark/>
          </w:tcPr>
          <w:p w:rsidR="002E0451" w:rsidRDefault="002E0451">
            <w:pPr>
              <w:pStyle w:val="Default"/>
              <w:rPr>
                <w:rFonts w:ascii="Arial" w:hAnsi="Arial" w:cs="Arial"/>
                <w:sz w:val="20"/>
                <w:szCs w:val="20"/>
              </w:rPr>
            </w:pPr>
            <w:r>
              <w:rPr>
                <w:rFonts w:ascii="Arial" w:hAnsi="Arial" w:cs="Arial"/>
                <w:b/>
                <w:bCs/>
                <w:sz w:val="20"/>
                <w:szCs w:val="20"/>
              </w:rPr>
              <w:t xml:space="preserve">Chemical Analysis </w:t>
            </w:r>
          </w:p>
        </w:tc>
        <w:tc>
          <w:tcPr>
            <w:tcW w:w="2126" w:type="dxa"/>
            <w:tcBorders>
              <w:top w:val="single" w:sz="4" w:space="0" w:color="000000"/>
              <w:left w:val="single" w:sz="4" w:space="0" w:color="000000"/>
              <w:bottom w:val="single" w:sz="4" w:space="0" w:color="000000"/>
              <w:right w:val="single" w:sz="4" w:space="0" w:color="000000"/>
            </w:tcBorders>
            <w:shd w:val="clear" w:color="auto" w:fill="DFDFDF"/>
          </w:tcPr>
          <w:p w:rsidR="002E0451" w:rsidRDefault="002E0451">
            <w:pPr>
              <w:pStyle w:val="Default"/>
              <w:jc w:val="center"/>
              <w:rPr>
                <w:rFonts w:ascii="Arial" w:hAnsi="Arial" w:cs="Arial"/>
                <w:b/>
                <w:bCs/>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DFDFDF"/>
          </w:tcPr>
          <w:p w:rsidR="002E0451" w:rsidRDefault="002E0451">
            <w:pPr>
              <w:pStyle w:val="Default"/>
              <w:jc w:val="center"/>
              <w:rPr>
                <w:rFonts w:ascii="Arial" w:hAnsi="Arial" w:cs="Arial"/>
                <w:sz w:val="20"/>
                <w:szCs w:val="20"/>
              </w:rPr>
            </w:pPr>
          </w:p>
        </w:tc>
      </w:tr>
      <w:tr w:rsidR="002E0451" w:rsidTr="002E0451">
        <w:trPr>
          <w:trHeight w:val="567"/>
        </w:trPr>
        <w:tc>
          <w:tcPr>
            <w:tcW w:w="3085" w:type="dxa"/>
            <w:vMerge/>
            <w:tcBorders>
              <w:top w:val="single" w:sz="4" w:space="0" w:color="000000"/>
              <w:left w:val="single" w:sz="6" w:space="0" w:color="000000"/>
              <w:bottom w:val="single" w:sz="4" w:space="0" w:color="000000"/>
              <w:right w:val="single" w:sz="4" w:space="0" w:color="000000"/>
            </w:tcBorders>
            <w:vAlign w:val="center"/>
            <w:hideMark/>
          </w:tcPr>
          <w:p w:rsidR="002E0451" w:rsidRDefault="002E0451">
            <w:pPr>
              <w:rPr>
                <w:rFonts w:eastAsiaTheme="minorEastAsia" w:cs="Arial"/>
                <w:color w:val="000000"/>
                <w:sz w:val="20"/>
                <w:szCs w:val="20"/>
              </w:rPr>
            </w:pPr>
          </w:p>
        </w:tc>
        <w:tc>
          <w:tcPr>
            <w:tcW w:w="2126" w:type="dxa"/>
            <w:tcBorders>
              <w:top w:val="single" w:sz="4" w:space="0" w:color="000000"/>
              <w:left w:val="single" w:sz="4" w:space="0" w:color="000000"/>
              <w:bottom w:val="single" w:sz="4" w:space="0" w:color="000000"/>
              <w:right w:val="single" w:sz="4" w:space="0" w:color="000000"/>
            </w:tcBorders>
            <w:shd w:val="clear" w:color="auto" w:fill="DFDFDF"/>
            <w:hideMark/>
          </w:tcPr>
          <w:p w:rsidR="002E0451" w:rsidRDefault="002E0451">
            <w:pPr>
              <w:pStyle w:val="Default"/>
              <w:jc w:val="center"/>
              <w:rPr>
                <w:rFonts w:ascii="Arial" w:hAnsi="Arial" w:cs="Arial"/>
                <w:b/>
                <w:sz w:val="20"/>
                <w:szCs w:val="20"/>
              </w:rPr>
            </w:pPr>
            <w:r>
              <w:rPr>
                <w:rFonts w:ascii="Arial" w:hAnsi="Arial" w:cs="Arial"/>
                <w:b/>
                <w:sz w:val="20"/>
                <w:szCs w:val="20"/>
              </w:rPr>
              <w:t>Chemical</w:t>
            </w:r>
          </w:p>
          <w:p w:rsidR="002E0451" w:rsidRDefault="002E0451">
            <w:pPr>
              <w:pStyle w:val="Default"/>
              <w:jc w:val="center"/>
              <w:rPr>
                <w:rFonts w:ascii="Arial" w:hAnsi="Arial" w:cs="Arial"/>
                <w:b/>
                <w:sz w:val="20"/>
                <w:szCs w:val="20"/>
              </w:rPr>
            </w:pPr>
            <w:r>
              <w:rPr>
                <w:rFonts w:ascii="Arial" w:hAnsi="Arial" w:cs="Arial"/>
                <w:b/>
                <w:sz w:val="20"/>
                <w:szCs w:val="20"/>
              </w:rPr>
              <w:t>Formula</w:t>
            </w:r>
          </w:p>
        </w:tc>
        <w:tc>
          <w:tcPr>
            <w:tcW w:w="2268" w:type="dxa"/>
            <w:tcBorders>
              <w:top w:val="single" w:sz="4" w:space="0" w:color="000000"/>
              <w:left w:val="single" w:sz="4" w:space="0" w:color="000000"/>
              <w:bottom w:val="single" w:sz="4" w:space="0" w:color="000000"/>
              <w:right w:val="single" w:sz="4" w:space="0" w:color="000000"/>
            </w:tcBorders>
            <w:shd w:val="clear" w:color="auto" w:fill="DFDFDF"/>
            <w:hideMark/>
          </w:tcPr>
          <w:p w:rsidR="002E0451" w:rsidRDefault="002E0451">
            <w:pPr>
              <w:pStyle w:val="Default"/>
              <w:jc w:val="center"/>
              <w:rPr>
                <w:rFonts w:ascii="Arial" w:hAnsi="Arial" w:cs="Arial"/>
                <w:b/>
                <w:sz w:val="20"/>
                <w:szCs w:val="20"/>
              </w:rPr>
            </w:pPr>
            <w:r>
              <w:rPr>
                <w:rFonts w:ascii="Arial" w:hAnsi="Arial" w:cs="Arial"/>
                <w:b/>
                <w:sz w:val="20"/>
                <w:szCs w:val="20"/>
              </w:rPr>
              <w:t>Typical Content %</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hideMark/>
          </w:tcPr>
          <w:p w:rsidR="002E0451" w:rsidRDefault="002E0451">
            <w:pPr>
              <w:pStyle w:val="Default"/>
              <w:rPr>
                <w:rFonts w:ascii="Arial" w:hAnsi="Arial" w:cs="Arial"/>
                <w:color w:val="auto"/>
                <w:sz w:val="20"/>
                <w:szCs w:val="20"/>
              </w:rPr>
            </w:pPr>
            <w:r>
              <w:rPr>
                <w:rFonts w:ascii="Arial" w:hAnsi="Arial" w:cs="Arial"/>
                <w:color w:val="auto"/>
                <w:sz w:val="20"/>
                <w:szCs w:val="20"/>
              </w:rPr>
              <w:t>Silicon Dioxide (amorphous)</w:t>
            </w:r>
          </w:p>
        </w:tc>
        <w:tc>
          <w:tcPr>
            <w:tcW w:w="2126" w:type="dxa"/>
            <w:tcBorders>
              <w:top w:val="single" w:sz="4" w:space="0" w:color="000000"/>
              <w:left w:val="single" w:sz="4" w:space="0" w:color="000000"/>
              <w:bottom w:val="single" w:sz="4" w:space="0" w:color="000000"/>
              <w:right w:val="single" w:sz="4" w:space="0" w:color="000000"/>
            </w:tcBorders>
            <w:hideMark/>
          </w:tcPr>
          <w:p w:rsidR="002E0451" w:rsidRDefault="002E0451">
            <w:pPr>
              <w:pStyle w:val="Default"/>
              <w:jc w:val="center"/>
              <w:rPr>
                <w:rFonts w:ascii="Arial" w:hAnsi="Arial" w:cs="Arial"/>
                <w:bCs/>
                <w:sz w:val="20"/>
                <w:szCs w:val="20"/>
              </w:rPr>
            </w:pPr>
            <w:r>
              <w:rPr>
                <w:rFonts w:ascii="Arial" w:hAnsi="Arial" w:cs="Arial"/>
                <w:bCs/>
                <w:sz w:val="20"/>
                <w:szCs w:val="20"/>
              </w:rPr>
              <w:t>SiO</w:t>
            </w:r>
            <w:r>
              <w:rPr>
                <w:rFonts w:ascii="Arial" w:hAnsi="Arial" w:cs="Arial"/>
                <w:bCs/>
                <w:sz w:val="20"/>
                <w:szCs w:val="20"/>
                <w:vertAlign w:val="superscript"/>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73</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hideMark/>
          </w:tcPr>
          <w:p w:rsidR="002E0451" w:rsidRDefault="002E0451">
            <w:pPr>
              <w:pStyle w:val="Default"/>
              <w:rPr>
                <w:rFonts w:ascii="Arial" w:hAnsi="Arial" w:cs="Arial"/>
                <w:color w:val="auto"/>
                <w:sz w:val="20"/>
                <w:szCs w:val="20"/>
              </w:rPr>
            </w:pPr>
            <w:r>
              <w:rPr>
                <w:rFonts w:ascii="Arial" w:hAnsi="Arial" w:cs="Arial"/>
                <w:color w:val="auto"/>
                <w:sz w:val="20"/>
                <w:szCs w:val="20"/>
              </w:rPr>
              <w:t>Sodium Oxide</w:t>
            </w:r>
          </w:p>
        </w:tc>
        <w:tc>
          <w:tcPr>
            <w:tcW w:w="2126" w:type="dxa"/>
            <w:tcBorders>
              <w:top w:val="single" w:sz="4" w:space="0" w:color="000000"/>
              <w:left w:val="single" w:sz="4" w:space="0" w:color="000000"/>
              <w:bottom w:val="single" w:sz="4" w:space="0" w:color="000000"/>
              <w:right w:val="single" w:sz="4" w:space="0" w:color="000000"/>
            </w:tcBorders>
            <w:hideMark/>
          </w:tcPr>
          <w:p w:rsidR="002E0451" w:rsidRDefault="002E0451">
            <w:pPr>
              <w:pStyle w:val="Default"/>
              <w:jc w:val="center"/>
              <w:rPr>
                <w:rFonts w:ascii="Arial" w:hAnsi="Arial" w:cs="Arial"/>
                <w:bCs/>
                <w:sz w:val="20"/>
                <w:szCs w:val="20"/>
              </w:rPr>
            </w:pPr>
            <w:r>
              <w:rPr>
                <w:rFonts w:ascii="Arial" w:hAnsi="Arial" w:cs="Arial"/>
                <w:bCs/>
                <w:sz w:val="20"/>
                <w:szCs w:val="20"/>
              </w:rPr>
              <w:t>Na</w:t>
            </w:r>
            <w:r>
              <w:rPr>
                <w:rFonts w:ascii="Arial" w:hAnsi="Arial" w:cs="Arial"/>
                <w:bCs/>
                <w:sz w:val="20"/>
                <w:szCs w:val="20"/>
                <w:vertAlign w:val="superscript"/>
              </w:rPr>
              <w:t>2</w:t>
            </w:r>
            <w:r>
              <w:rPr>
                <w:rFonts w:ascii="Arial" w:hAnsi="Arial" w:cs="Arial"/>
                <w:bCs/>
                <w:sz w:val="20"/>
                <w:szCs w:val="20"/>
              </w:rPr>
              <w:t>O</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15</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vAlign w:val="center"/>
            <w:hideMark/>
          </w:tcPr>
          <w:p w:rsidR="002E0451" w:rsidRDefault="002E0451">
            <w:pPr>
              <w:pStyle w:val="Default"/>
              <w:rPr>
                <w:rFonts w:ascii="Arial" w:hAnsi="Arial" w:cs="Arial"/>
                <w:sz w:val="20"/>
                <w:szCs w:val="20"/>
              </w:rPr>
            </w:pPr>
            <w:r>
              <w:rPr>
                <w:rFonts w:ascii="Arial" w:hAnsi="Arial" w:cs="Arial"/>
                <w:bCs/>
                <w:sz w:val="20"/>
                <w:szCs w:val="20"/>
              </w:rPr>
              <w:t xml:space="preserve">Calcium Oxide </w:t>
            </w:r>
          </w:p>
        </w:tc>
        <w:tc>
          <w:tcPr>
            <w:tcW w:w="2126" w:type="dxa"/>
            <w:tcBorders>
              <w:top w:val="single" w:sz="4" w:space="0" w:color="000000"/>
              <w:left w:val="single" w:sz="4" w:space="0" w:color="000000"/>
              <w:bottom w:val="single" w:sz="4" w:space="0" w:color="000000"/>
              <w:right w:val="single" w:sz="4" w:space="0" w:color="000000"/>
            </w:tcBorders>
            <w:hideMark/>
          </w:tcPr>
          <w:p w:rsidR="002E0451" w:rsidRDefault="002E0451">
            <w:pPr>
              <w:pStyle w:val="Default"/>
              <w:jc w:val="center"/>
              <w:rPr>
                <w:rFonts w:ascii="Arial" w:hAnsi="Arial" w:cs="Arial"/>
                <w:sz w:val="20"/>
                <w:szCs w:val="20"/>
              </w:rPr>
            </w:pPr>
            <w:proofErr w:type="spellStart"/>
            <w:r>
              <w:rPr>
                <w:rFonts w:ascii="Arial" w:hAnsi="Arial" w:cs="Arial"/>
                <w:bCs/>
                <w:sz w:val="20"/>
                <w:szCs w:val="20"/>
              </w:rPr>
              <w:t>CaO</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7</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vAlign w:val="center"/>
            <w:hideMark/>
          </w:tcPr>
          <w:p w:rsidR="002E0451" w:rsidRDefault="002E0451">
            <w:pPr>
              <w:pStyle w:val="Default"/>
              <w:rPr>
                <w:rFonts w:ascii="Arial" w:hAnsi="Arial" w:cs="Arial"/>
                <w:sz w:val="20"/>
                <w:szCs w:val="20"/>
              </w:rPr>
            </w:pPr>
            <w:r>
              <w:rPr>
                <w:rFonts w:ascii="Arial" w:hAnsi="Arial" w:cs="Arial"/>
                <w:bCs/>
                <w:sz w:val="20"/>
                <w:szCs w:val="20"/>
              </w:rPr>
              <w:t xml:space="preserve">Magnesium Oxide </w:t>
            </w:r>
          </w:p>
        </w:tc>
        <w:tc>
          <w:tcPr>
            <w:tcW w:w="2126" w:type="dxa"/>
            <w:tcBorders>
              <w:top w:val="single" w:sz="4" w:space="0" w:color="000000"/>
              <w:left w:val="single" w:sz="4" w:space="0" w:color="000000"/>
              <w:bottom w:val="single" w:sz="4" w:space="0" w:color="000000"/>
              <w:right w:val="single" w:sz="4" w:space="0" w:color="000000"/>
            </w:tcBorders>
            <w:hideMark/>
          </w:tcPr>
          <w:p w:rsidR="002E0451" w:rsidRDefault="002E0451">
            <w:pPr>
              <w:pStyle w:val="Default"/>
              <w:jc w:val="center"/>
              <w:rPr>
                <w:rFonts w:ascii="Arial" w:hAnsi="Arial" w:cs="Arial"/>
                <w:sz w:val="20"/>
                <w:szCs w:val="20"/>
              </w:rPr>
            </w:pPr>
            <w:proofErr w:type="spellStart"/>
            <w:r>
              <w:rPr>
                <w:rFonts w:ascii="Arial" w:hAnsi="Arial" w:cs="Arial"/>
                <w:bCs/>
                <w:sz w:val="20"/>
                <w:szCs w:val="20"/>
              </w:rPr>
              <w:t>MgO</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4</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hideMark/>
          </w:tcPr>
          <w:p w:rsidR="002E0451" w:rsidRDefault="002E0451">
            <w:pPr>
              <w:pStyle w:val="Default"/>
              <w:rPr>
                <w:rFonts w:ascii="Arial" w:hAnsi="Arial" w:cs="Arial"/>
                <w:color w:val="auto"/>
                <w:sz w:val="20"/>
                <w:szCs w:val="20"/>
              </w:rPr>
            </w:pPr>
            <w:r>
              <w:rPr>
                <w:rFonts w:ascii="Arial" w:hAnsi="Arial" w:cs="Arial"/>
                <w:bCs/>
                <w:sz w:val="20"/>
                <w:szCs w:val="20"/>
              </w:rPr>
              <w:t xml:space="preserve">Aluminium Oxide </w:t>
            </w:r>
          </w:p>
        </w:tc>
        <w:tc>
          <w:tcPr>
            <w:tcW w:w="2126" w:type="dxa"/>
            <w:tcBorders>
              <w:top w:val="single" w:sz="4" w:space="0" w:color="000000"/>
              <w:left w:val="single" w:sz="4" w:space="0" w:color="000000"/>
              <w:bottom w:val="single" w:sz="4" w:space="0" w:color="000000"/>
              <w:right w:val="single" w:sz="4" w:space="0" w:color="000000"/>
            </w:tcBorders>
            <w:hideMark/>
          </w:tcPr>
          <w:p w:rsidR="002E0451" w:rsidRDefault="002E0451">
            <w:pPr>
              <w:pStyle w:val="Default"/>
              <w:jc w:val="center"/>
              <w:rPr>
                <w:rFonts w:ascii="Arial" w:hAnsi="Arial" w:cs="Arial"/>
                <w:bCs/>
                <w:sz w:val="20"/>
                <w:szCs w:val="20"/>
              </w:rPr>
            </w:pPr>
            <w:r>
              <w:rPr>
                <w:rFonts w:ascii="Arial" w:hAnsi="Arial" w:cs="Arial"/>
                <w:bCs/>
                <w:sz w:val="20"/>
                <w:szCs w:val="20"/>
              </w:rPr>
              <w:t>Al</w:t>
            </w:r>
            <w:r>
              <w:rPr>
                <w:rFonts w:ascii="Arial" w:hAnsi="Arial" w:cs="Arial"/>
                <w:bCs/>
                <w:sz w:val="20"/>
                <w:szCs w:val="20"/>
                <w:vertAlign w:val="superscript"/>
              </w:rPr>
              <w:t>2</w:t>
            </w:r>
            <w:r>
              <w:rPr>
                <w:rFonts w:ascii="Arial" w:hAnsi="Arial" w:cs="Arial"/>
                <w:bCs/>
                <w:sz w:val="20"/>
                <w:szCs w:val="20"/>
              </w:rPr>
              <w:t>O</w:t>
            </w:r>
            <w:r>
              <w:rPr>
                <w:rFonts w:ascii="Arial" w:hAnsi="Arial" w:cs="Arial"/>
                <w:bCs/>
                <w:sz w:val="20"/>
                <w:szCs w:val="20"/>
                <w:vertAlign w:val="superscript"/>
              </w:rPr>
              <w:t>3</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1</w:t>
            </w:r>
          </w:p>
        </w:tc>
      </w:tr>
    </w:tbl>
    <w:p w:rsidR="002E0451" w:rsidRDefault="002E0451" w:rsidP="002E0451">
      <w:pPr>
        <w:rPr>
          <w:rFonts w:ascii="Arial" w:hAnsi="Arial"/>
          <w:noProof/>
          <w:sz w:val="22"/>
          <w:szCs w:val="22"/>
        </w:rPr>
      </w:pPr>
    </w:p>
    <w:p w:rsidR="002E0451" w:rsidRDefault="002E0451" w:rsidP="002E0451">
      <w:pPr>
        <w:rPr>
          <w:noProof/>
          <w:sz w:val="22"/>
          <w:szCs w:val="22"/>
        </w:rPr>
      </w:pPr>
    </w:p>
    <w:p w:rsidR="002E0451" w:rsidRDefault="002E0451" w:rsidP="002E0451">
      <w:pPr>
        <w:rPr>
          <w:noProof/>
          <w:sz w:val="22"/>
          <w:szCs w:val="22"/>
        </w:rPr>
      </w:pPr>
    </w:p>
    <w:p w:rsidR="002E0451" w:rsidRDefault="002E0451" w:rsidP="002E0451">
      <w:pPr>
        <w:rPr>
          <w:noProof/>
          <w:sz w:val="22"/>
          <w:szCs w:val="22"/>
        </w:rPr>
      </w:pPr>
    </w:p>
    <w:p w:rsidR="002E0451" w:rsidRDefault="002E0451" w:rsidP="002E0451">
      <w:pPr>
        <w:rPr>
          <w:noProof/>
          <w:sz w:val="22"/>
          <w:szCs w:val="22"/>
        </w:rPr>
      </w:pPr>
    </w:p>
    <w:p w:rsidR="002E0451" w:rsidRDefault="002E0451" w:rsidP="002E0451">
      <w:pPr>
        <w:rPr>
          <w:noProof/>
          <w:sz w:val="22"/>
          <w:szCs w:val="22"/>
        </w:rPr>
      </w:pPr>
    </w:p>
    <w:p w:rsidR="002E0451" w:rsidRDefault="002E0451" w:rsidP="002E0451">
      <w:pPr>
        <w:rPr>
          <w:noProof/>
          <w:sz w:val="22"/>
          <w:szCs w:val="22"/>
        </w:rPr>
      </w:pPr>
    </w:p>
    <w:p w:rsidR="002E0451" w:rsidRDefault="002E0451" w:rsidP="002E0451">
      <w:pPr>
        <w:rPr>
          <w:noProof/>
          <w:sz w:val="22"/>
          <w:szCs w:val="22"/>
        </w:rPr>
      </w:pPr>
      <w:r w:rsidRPr="002E0451">
        <w:rPr>
          <w:noProof/>
          <w:sz w:val="22"/>
          <w:szCs w:val="22"/>
        </w:rPr>
        <w:drawing>
          <wp:anchor distT="0" distB="0" distL="114300" distR="114300" simplePos="0" relativeHeight="251663360" behindDoc="0" locked="0" layoutInCell="1" allowOverlap="1">
            <wp:simplePos x="0" y="0"/>
            <wp:positionH relativeFrom="column">
              <wp:posOffset>4114800</wp:posOffset>
            </wp:positionH>
            <wp:positionV relativeFrom="paragraph">
              <wp:posOffset>-720090</wp:posOffset>
            </wp:positionV>
            <wp:extent cx="2352675" cy="1019175"/>
            <wp:effectExtent l="19050" t="0" r="9525" b="0"/>
            <wp:wrapSquare wrapText="bothSides"/>
            <wp:docPr id="1" name="Picture 1" descr="\\ScottHaley-PC\DServer\The Resin Mill\Images\Company Logo\ResinMill_Logo_CMYK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Haley-PC\DServer\The Resin Mill\Images\Company Logo\ResinMill_Logo_CMYK_HiRes.jpg"/>
                    <pic:cNvPicPr>
                      <a:picLocks noChangeAspect="1" noChangeArrowheads="1"/>
                    </pic:cNvPicPr>
                  </pic:nvPicPr>
                  <pic:blipFill>
                    <a:blip r:embed="rId7" cstate="print"/>
                    <a:srcRect/>
                    <a:stretch>
                      <a:fillRect/>
                    </a:stretch>
                  </pic:blipFill>
                  <pic:spPr bwMode="auto">
                    <a:xfrm>
                      <a:off x="0" y="0"/>
                      <a:ext cx="2352675" cy="1019175"/>
                    </a:xfrm>
                    <a:prstGeom prst="rect">
                      <a:avLst/>
                    </a:prstGeom>
                    <a:noFill/>
                    <a:ln w="9525">
                      <a:noFill/>
                      <a:miter lim="800000"/>
                      <a:headEnd/>
                      <a:tailEnd/>
                    </a:ln>
                  </pic:spPr>
                </pic:pic>
              </a:graphicData>
            </a:graphic>
          </wp:anchor>
        </w:drawing>
      </w:r>
    </w:p>
    <w:p w:rsidR="002E0451" w:rsidRDefault="002E0451" w:rsidP="002E0451">
      <w:pPr>
        <w:rPr>
          <w:noProof/>
          <w:sz w:val="22"/>
          <w:szCs w:val="22"/>
        </w:rPr>
      </w:pPr>
    </w:p>
    <w:p w:rsidR="00053BA0" w:rsidRDefault="00053BA0" w:rsidP="002E0451">
      <w:pPr>
        <w:rPr>
          <w:noProof/>
          <w:sz w:val="22"/>
          <w:szCs w:val="22"/>
        </w:rPr>
      </w:pPr>
    </w:p>
    <w:p w:rsidR="002E0451" w:rsidRDefault="002E0451" w:rsidP="002E0451">
      <w:pPr>
        <w:rPr>
          <w:noProof/>
          <w:sz w:val="22"/>
          <w:szCs w:val="22"/>
        </w:rPr>
      </w:pPr>
    </w:p>
    <w:p w:rsidR="002E0451" w:rsidRDefault="002E0451" w:rsidP="002E0451">
      <w:pPr>
        <w:shd w:val="clear" w:color="auto" w:fill="92CDDC" w:themeFill="accent5" w:themeFillTint="99"/>
        <w:jc w:val="center"/>
        <w:rPr>
          <w:b/>
          <w:sz w:val="36"/>
          <w:szCs w:val="36"/>
        </w:rPr>
      </w:pPr>
      <w:r>
        <w:rPr>
          <w:b/>
          <w:sz w:val="36"/>
          <w:szCs w:val="36"/>
        </w:rPr>
        <w:t>SECTION 2</w:t>
      </w:r>
    </w:p>
    <w:p w:rsidR="002E0451" w:rsidRDefault="002E0451" w:rsidP="002E0451">
      <w:pPr>
        <w:shd w:val="clear" w:color="auto" w:fill="92CDDC" w:themeFill="accent5" w:themeFillTint="99"/>
        <w:jc w:val="center"/>
        <w:rPr>
          <w:b/>
          <w:sz w:val="36"/>
          <w:szCs w:val="36"/>
        </w:rPr>
      </w:pPr>
      <w:r>
        <w:rPr>
          <w:rFonts w:cs="Arial"/>
          <w:b/>
          <w:bCs/>
          <w:sz w:val="36"/>
          <w:szCs w:val="36"/>
        </w:rPr>
        <w:t>Physical Properties</w:t>
      </w:r>
    </w:p>
    <w:p w:rsidR="002E0451" w:rsidRDefault="002E0451" w:rsidP="002E0451">
      <w:pPr>
        <w:rPr>
          <w:noProof/>
          <w:color w:val="984806" w:themeColor="accent6" w:themeShade="80"/>
          <w:sz w:val="28"/>
          <w:szCs w:val="28"/>
        </w:rPr>
      </w:pPr>
    </w:p>
    <w:tbl>
      <w:tblPr>
        <w:tblW w:w="0" w:type="auto"/>
        <w:tblInd w:w="2350" w:type="dxa"/>
        <w:tblLayout w:type="fixed"/>
        <w:tblLook w:val="04A0"/>
      </w:tblPr>
      <w:tblGrid>
        <w:gridCol w:w="3085"/>
        <w:gridCol w:w="2693"/>
      </w:tblGrid>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vAlign w:val="center"/>
            <w:hideMark/>
          </w:tcPr>
          <w:p w:rsidR="002E0451" w:rsidRDefault="002E0451">
            <w:pPr>
              <w:pStyle w:val="Default"/>
              <w:rPr>
                <w:rFonts w:ascii="Arial" w:hAnsi="Arial" w:cs="Arial"/>
                <w:bCs/>
                <w:sz w:val="20"/>
                <w:szCs w:val="20"/>
              </w:rPr>
            </w:pPr>
            <w:r>
              <w:rPr>
                <w:rFonts w:ascii="Arial" w:hAnsi="Arial" w:cs="Arial"/>
                <w:bCs/>
                <w:sz w:val="20"/>
                <w:szCs w:val="20"/>
              </w:rPr>
              <w:t>Shape</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Spherical</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vAlign w:val="center"/>
            <w:hideMark/>
          </w:tcPr>
          <w:p w:rsidR="002E0451" w:rsidRDefault="002E0451">
            <w:pPr>
              <w:pStyle w:val="Default"/>
              <w:rPr>
                <w:rFonts w:ascii="Arial" w:hAnsi="Arial" w:cs="Arial"/>
                <w:bCs/>
                <w:sz w:val="20"/>
                <w:szCs w:val="20"/>
              </w:rPr>
            </w:pPr>
            <w:r>
              <w:rPr>
                <w:rFonts w:ascii="Arial" w:hAnsi="Arial" w:cs="Arial"/>
                <w:bCs/>
                <w:sz w:val="20"/>
                <w:szCs w:val="20"/>
              </w:rPr>
              <w:t>Colour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Clear/white</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hideMark/>
          </w:tcPr>
          <w:p w:rsidR="002E0451" w:rsidRDefault="002E0451">
            <w:pPr>
              <w:pStyle w:val="Default"/>
              <w:rPr>
                <w:rFonts w:ascii="Arial" w:hAnsi="Arial" w:cs="Arial"/>
                <w:sz w:val="20"/>
                <w:szCs w:val="20"/>
              </w:rPr>
            </w:pPr>
            <w:r>
              <w:rPr>
                <w:rFonts w:ascii="Arial" w:hAnsi="Arial" w:cs="Arial"/>
                <w:bCs/>
                <w:sz w:val="20"/>
                <w:szCs w:val="20"/>
              </w:rPr>
              <w:t xml:space="preserve">Specific Gravity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2.55 g/cc</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hideMark/>
          </w:tcPr>
          <w:p w:rsidR="002E0451" w:rsidRDefault="002E0451">
            <w:pPr>
              <w:pStyle w:val="Default"/>
              <w:rPr>
                <w:rFonts w:ascii="Arial" w:hAnsi="Arial" w:cs="Arial"/>
                <w:bCs/>
                <w:sz w:val="20"/>
                <w:szCs w:val="20"/>
              </w:rPr>
            </w:pPr>
            <w:r>
              <w:rPr>
                <w:rFonts w:ascii="Arial" w:hAnsi="Arial" w:cs="Arial"/>
                <w:bCs/>
                <w:sz w:val="20"/>
                <w:szCs w:val="20"/>
              </w:rPr>
              <w:t xml:space="preserve">Bulk Density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1.5 g/cc</w:t>
            </w:r>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hideMark/>
          </w:tcPr>
          <w:p w:rsidR="002E0451" w:rsidRDefault="002E0451">
            <w:pPr>
              <w:pStyle w:val="Default"/>
              <w:rPr>
                <w:rFonts w:ascii="Arial" w:hAnsi="Arial" w:cs="Arial"/>
                <w:bCs/>
                <w:sz w:val="20"/>
                <w:szCs w:val="20"/>
              </w:rPr>
            </w:pPr>
            <w:r>
              <w:rPr>
                <w:rFonts w:ascii="Arial" w:hAnsi="Arial" w:cs="Arial"/>
                <w:bCs/>
                <w:sz w:val="20"/>
                <w:szCs w:val="20"/>
              </w:rPr>
              <w:t xml:space="preserve">Hardness </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 xml:space="preserve">5 </w:t>
            </w:r>
            <w:proofErr w:type="spellStart"/>
            <w:r>
              <w:rPr>
                <w:rFonts w:ascii="Arial" w:hAnsi="Arial" w:cs="Arial"/>
                <w:bCs/>
                <w:sz w:val="20"/>
                <w:szCs w:val="20"/>
              </w:rPr>
              <w:t>moh</w:t>
            </w:r>
            <w:proofErr w:type="spellEnd"/>
          </w:p>
        </w:tc>
      </w:tr>
      <w:tr w:rsidR="002E0451" w:rsidTr="002E0451">
        <w:trPr>
          <w:trHeight w:val="283"/>
        </w:trPr>
        <w:tc>
          <w:tcPr>
            <w:tcW w:w="3085" w:type="dxa"/>
            <w:tcBorders>
              <w:top w:val="single" w:sz="4" w:space="0" w:color="000000"/>
              <w:left w:val="single" w:sz="6" w:space="0" w:color="000000"/>
              <w:bottom w:val="single" w:sz="4" w:space="0" w:color="000000"/>
              <w:right w:val="single" w:sz="4" w:space="0" w:color="000000"/>
            </w:tcBorders>
            <w:vAlign w:val="center"/>
            <w:hideMark/>
          </w:tcPr>
          <w:p w:rsidR="002E0451" w:rsidRDefault="002E0451">
            <w:pPr>
              <w:pStyle w:val="Default"/>
              <w:rPr>
                <w:rFonts w:ascii="Arial" w:hAnsi="Arial" w:cs="Arial"/>
                <w:sz w:val="20"/>
                <w:szCs w:val="20"/>
              </w:rPr>
            </w:pPr>
            <w:r>
              <w:rPr>
                <w:rFonts w:ascii="Arial" w:hAnsi="Arial" w:cs="Arial"/>
                <w:sz w:val="20"/>
                <w:szCs w:val="20"/>
              </w:rPr>
              <w:t>Packaging</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2E0451" w:rsidRDefault="002E0451">
            <w:pPr>
              <w:pStyle w:val="Default"/>
              <w:jc w:val="center"/>
              <w:rPr>
                <w:rFonts w:ascii="Arial" w:hAnsi="Arial" w:cs="Arial"/>
                <w:sz w:val="20"/>
                <w:szCs w:val="20"/>
              </w:rPr>
            </w:pPr>
            <w:r>
              <w:rPr>
                <w:rFonts w:ascii="Arial" w:hAnsi="Arial" w:cs="Arial"/>
                <w:sz w:val="20"/>
                <w:szCs w:val="20"/>
              </w:rPr>
              <w:t>25kg paper sacks</w:t>
            </w:r>
          </w:p>
        </w:tc>
      </w:tr>
    </w:tbl>
    <w:p w:rsidR="002E0451" w:rsidRDefault="002E0451" w:rsidP="002E0451">
      <w:pPr>
        <w:rPr>
          <w:rFonts w:ascii="Arial" w:hAnsi="Arial"/>
          <w:noProof/>
          <w:color w:val="984806" w:themeColor="accent6" w:themeShade="80"/>
          <w:sz w:val="28"/>
          <w:szCs w:val="28"/>
        </w:rPr>
      </w:pPr>
    </w:p>
    <w:p w:rsidR="002E0451" w:rsidRDefault="002E0451" w:rsidP="002E0451">
      <w:pPr>
        <w:rPr>
          <w:noProof/>
          <w:color w:val="984806" w:themeColor="accent6" w:themeShade="80"/>
          <w:sz w:val="28"/>
          <w:szCs w:val="28"/>
        </w:rPr>
      </w:pPr>
    </w:p>
    <w:p w:rsidR="002E0451" w:rsidRDefault="002E0451" w:rsidP="002E0451">
      <w:pPr>
        <w:rPr>
          <w:noProof/>
          <w:color w:val="984806" w:themeColor="accent6" w:themeShade="80"/>
          <w:sz w:val="28"/>
          <w:szCs w:val="28"/>
        </w:rPr>
      </w:pPr>
    </w:p>
    <w:p w:rsidR="002E0451" w:rsidRDefault="002E0451" w:rsidP="002E0451">
      <w:pPr>
        <w:shd w:val="clear" w:color="auto" w:fill="92CDDC" w:themeFill="accent5" w:themeFillTint="99"/>
        <w:jc w:val="center"/>
        <w:rPr>
          <w:b/>
          <w:sz w:val="36"/>
          <w:szCs w:val="36"/>
        </w:rPr>
      </w:pPr>
      <w:r>
        <w:rPr>
          <w:b/>
          <w:sz w:val="36"/>
          <w:szCs w:val="36"/>
        </w:rPr>
        <w:t>SECTION 3</w:t>
      </w:r>
    </w:p>
    <w:p w:rsidR="002E0451" w:rsidRDefault="002E0451" w:rsidP="002E0451">
      <w:pPr>
        <w:shd w:val="clear" w:color="auto" w:fill="92CDDC" w:themeFill="accent5" w:themeFillTint="99"/>
        <w:jc w:val="center"/>
        <w:rPr>
          <w:b/>
          <w:sz w:val="36"/>
          <w:szCs w:val="36"/>
        </w:rPr>
      </w:pPr>
      <w:r>
        <w:rPr>
          <w:b/>
          <w:sz w:val="36"/>
          <w:szCs w:val="36"/>
        </w:rPr>
        <w:t>Particle Size Distribution</w:t>
      </w:r>
    </w:p>
    <w:p w:rsidR="002E0451" w:rsidRDefault="002E0451" w:rsidP="002E0451">
      <w:pPr>
        <w:rPr>
          <w:rFonts w:cs="Arial"/>
          <w:noProof/>
          <w:color w:val="E36C0A" w:themeColor="accent6" w:themeShade="BF"/>
          <w:sz w:val="22"/>
          <w:szCs w:val="22"/>
        </w:rPr>
      </w:pPr>
    </w:p>
    <w:tbl>
      <w:tblPr>
        <w:tblStyle w:val="TableGrid"/>
        <w:tblW w:w="0" w:type="auto"/>
        <w:tblInd w:w="0" w:type="dxa"/>
        <w:tblLook w:val="04A0"/>
      </w:tblPr>
      <w:tblGrid>
        <w:gridCol w:w="2536"/>
        <w:gridCol w:w="2250"/>
        <w:gridCol w:w="2268"/>
        <w:gridCol w:w="3465"/>
      </w:tblGrid>
      <w:tr w:rsidR="002E0451" w:rsidTr="002E0451">
        <w:tc>
          <w:tcPr>
            <w:tcW w:w="2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E0451" w:rsidRDefault="002E0451">
            <w:pPr>
              <w:jc w:val="both"/>
              <w:rPr>
                <w:rFonts w:cs="Arial"/>
                <w:b/>
                <w:noProof/>
                <w:sz w:val="22"/>
                <w:szCs w:val="22"/>
              </w:rPr>
            </w:pPr>
            <w:r>
              <w:rPr>
                <w:rFonts w:cs="Arial"/>
                <w:b/>
                <w:noProof/>
                <w:sz w:val="22"/>
                <w:szCs w:val="22"/>
              </w:rPr>
              <w:t>Grade</w:t>
            </w:r>
          </w:p>
        </w:tc>
        <w:tc>
          <w:tcPr>
            <w:tcW w:w="225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E0451" w:rsidRDefault="002E0451">
            <w:pPr>
              <w:jc w:val="both"/>
              <w:rPr>
                <w:rFonts w:cs="Arial"/>
                <w:b/>
                <w:noProof/>
                <w:sz w:val="22"/>
                <w:szCs w:val="22"/>
              </w:rPr>
            </w:pPr>
            <w:r>
              <w:rPr>
                <w:rFonts w:cs="Arial"/>
                <w:b/>
                <w:noProof/>
                <w:sz w:val="22"/>
                <w:szCs w:val="22"/>
              </w:rPr>
              <w:t>Bead dia. microns</w:t>
            </w:r>
          </w:p>
        </w:tc>
        <w:tc>
          <w:tcPr>
            <w:tcW w:w="226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E0451" w:rsidRDefault="002E0451">
            <w:pPr>
              <w:jc w:val="both"/>
              <w:rPr>
                <w:rFonts w:cs="Arial"/>
                <w:b/>
                <w:noProof/>
                <w:sz w:val="22"/>
                <w:szCs w:val="22"/>
              </w:rPr>
            </w:pPr>
            <w:r>
              <w:rPr>
                <w:rFonts w:cs="Arial"/>
                <w:b/>
                <w:noProof/>
                <w:sz w:val="22"/>
                <w:szCs w:val="22"/>
              </w:rPr>
              <w:t>Bead dia, inches</w:t>
            </w:r>
          </w:p>
        </w:tc>
        <w:tc>
          <w:tcPr>
            <w:tcW w:w="346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2E0451" w:rsidRDefault="002E0451">
            <w:pPr>
              <w:jc w:val="both"/>
              <w:rPr>
                <w:rFonts w:cs="Arial"/>
                <w:b/>
                <w:noProof/>
                <w:sz w:val="22"/>
                <w:szCs w:val="22"/>
              </w:rPr>
            </w:pPr>
            <w:r>
              <w:rPr>
                <w:rFonts w:cs="Arial"/>
                <w:b/>
                <w:noProof/>
                <w:sz w:val="22"/>
                <w:szCs w:val="22"/>
              </w:rPr>
              <w:t>US Standard Mesh</w:t>
            </w:r>
          </w:p>
        </w:tc>
      </w:tr>
      <w:tr w:rsidR="002E0451" w:rsidTr="002E0451">
        <w:tc>
          <w:tcPr>
            <w:tcW w:w="2536"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GBBT3</w:t>
            </w:r>
          </w:p>
        </w:tc>
        <w:tc>
          <w:tcPr>
            <w:tcW w:w="2250"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840-590</w:t>
            </w:r>
          </w:p>
        </w:tc>
        <w:tc>
          <w:tcPr>
            <w:tcW w:w="2268"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.0331-.0234</w:t>
            </w:r>
          </w:p>
        </w:tc>
        <w:tc>
          <w:tcPr>
            <w:tcW w:w="3465"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20-36</w:t>
            </w:r>
          </w:p>
        </w:tc>
      </w:tr>
      <w:tr w:rsidR="002E0451" w:rsidTr="002E0451">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GBBT4</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590-420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.0234-.0165</w:t>
            </w:r>
          </w:p>
        </w:tc>
        <w:tc>
          <w:tcPr>
            <w:tcW w:w="3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30-40</w:t>
            </w:r>
          </w:p>
        </w:tc>
      </w:tr>
      <w:tr w:rsidR="002E0451" w:rsidTr="002E0451">
        <w:tc>
          <w:tcPr>
            <w:tcW w:w="2536"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GBBOL21</w:t>
            </w:r>
          </w:p>
        </w:tc>
        <w:tc>
          <w:tcPr>
            <w:tcW w:w="2250"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420-250</w:t>
            </w:r>
          </w:p>
        </w:tc>
        <w:tc>
          <w:tcPr>
            <w:tcW w:w="2268"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.0165-.0098</w:t>
            </w:r>
          </w:p>
        </w:tc>
        <w:tc>
          <w:tcPr>
            <w:tcW w:w="3465"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40-60</w:t>
            </w:r>
          </w:p>
        </w:tc>
      </w:tr>
      <w:tr w:rsidR="002E0451" w:rsidTr="002E0451">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GBBOL23</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297-177</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.0117-.0070</w:t>
            </w:r>
          </w:p>
        </w:tc>
        <w:tc>
          <w:tcPr>
            <w:tcW w:w="3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50-80</w:t>
            </w:r>
          </w:p>
        </w:tc>
      </w:tr>
      <w:tr w:rsidR="002E0451" w:rsidTr="002E0451">
        <w:tc>
          <w:tcPr>
            <w:tcW w:w="2536"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GBBOL24</w:t>
            </w:r>
          </w:p>
        </w:tc>
        <w:tc>
          <w:tcPr>
            <w:tcW w:w="2250"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250-149</w:t>
            </w:r>
          </w:p>
        </w:tc>
        <w:tc>
          <w:tcPr>
            <w:tcW w:w="2268"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.0098-.0059</w:t>
            </w:r>
          </w:p>
        </w:tc>
        <w:tc>
          <w:tcPr>
            <w:tcW w:w="3465"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60-100</w:t>
            </w:r>
          </w:p>
        </w:tc>
      </w:tr>
      <w:tr w:rsidR="002E0451" w:rsidTr="002E0451">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GBBOL25</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210-105</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.0083-.0041</w:t>
            </w:r>
          </w:p>
        </w:tc>
        <w:tc>
          <w:tcPr>
            <w:tcW w:w="3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70-140</w:t>
            </w:r>
          </w:p>
        </w:tc>
      </w:tr>
      <w:tr w:rsidR="002E0451" w:rsidTr="002E0451">
        <w:tc>
          <w:tcPr>
            <w:tcW w:w="2536"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GBBOL26</w:t>
            </w:r>
          </w:p>
        </w:tc>
        <w:tc>
          <w:tcPr>
            <w:tcW w:w="2250"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149-74</w:t>
            </w:r>
          </w:p>
        </w:tc>
        <w:tc>
          <w:tcPr>
            <w:tcW w:w="2268"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.0059</w:t>
            </w:r>
            <w:bookmarkStart w:id="0" w:name="_GoBack"/>
            <w:bookmarkEnd w:id="0"/>
            <w:r>
              <w:rPr>
                <w:rFonts w:cs="Arial"/>
                <w:noProof/>
                <w:sz w:val="22"/>
                <w:szCs w:val="22"/>
              </w:rPr>
              <w:t>-.0029</w:t>
            </w:r>
          </w:p>
        </w:tc>
        <w:tc>
          <w:tcPr>
            <w:tcW w:w="3465"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100-200</w:t>
            </w:r>
          </w:p>
        </w:tc>
      </w:tr>
      <w:tr w:rsidR="002E0451" w:rsidTr="002E0451">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GBBOL27</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105-53</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.0041-.0021</w:t>
            </w:r>
          </w:p>
        </w:tc>
        <w:tc>
          <w:tcPr>
            <w:tcW w:w="3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140-270</w:t>
            </w:r>
          </w:p>
        </w:tc>
      </w:tr>
      <w:tr w:rsidR="002E0451" w:rsidTr="002E0451">
        <w:tc>
          <w:tcPr>
            <w:tcW w:w="2536"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GBBT13</w:t>
            </w:r>
          </w:p>
        </w:tc>
        <w:tc>
          <w:tcPr>
            <w:tcW w:w="2250"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88-44</w:t>
            </w:r>
          </w:p>
        </w:tc>
        <w:tc>
          <w:tcPr>
            <w:tcW w:w="2268"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.0035-.0017</w:t>
            </w:r>
          </w:p>
        </w:tc>
        <w:tc>
          <w:tcPr>
            <w:tcW w:w="3465" w:type="dxa"/>
            <w:tcBorders>
              <w:top w:val="single" w:sz="4" w:space="0" w:color="auto"/>
              <w:left w:val="single" w:sz="4" w:space="0" w:color="auto"/>
              <w:bottom w:val="single" w:sz="4" w:space="0" w:color="auto"/>
              <w:right w:val="single" w:sz="4" w:space="0" w:color="auto"/>
            </w:tcBorders>
            <w:hideMark/>
          </w:tcPr>
          <w:p w:rsidR="002E0451" w:rsidRDefault="002E0451">
            <w:pPr>
              <w:jc w:val="both"/>
              <w:rPr>
                <w:rFonts w:cs="Arial"/>
                <w:noProof/>
                <w:sz w:val="22"/>
                <w:szCs w:val="22"/>
              </w:rPr>
            </w:pPr>
            <w:r>
              <w:rPr>
                <w:rFonts w:cs="Arial"/>
                <w:noProof/>
                <w:sz w:val="22"/>
                <w:szCs w:val="22"/>
              </w:rPr>
              <w:t>170-325</w:t>
            </w:r>
          </w:p>
        </w:tc>
      </w:tr>
      <w:tr w:rsidR="002E0451" w:rsidTr="002E0451">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GBBOL30</w:t>
            </w:r>
          </w:p>
        </w:tc>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62-30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.0017 and finer</w:t>
            </w:r>
          </w:p>
        </w:tc>
        <w:tc>
          <w:tcPr>
            <w:tcW w:w="34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2E0451" w:rsidRDefault="002E0451">
            <w:pPr>
              <w:jc w:val="both"/>
              <w:rPr>
                <w:rFonts w:cs="Arial"/>
                <w:noProof/>
                <w:sz w:val="22"/>
                <w:szCs w:val="22"/>
              </w:rPr>
            </w:pPr>
            <w:r>
              <w:rPr>
                <w:rFonts w:cs="Arial"/>
                <w:noProof/>
                <w:sz w:val="22"/>
                <w:szCs w:val="22"/>
              </w:rPr>
              <w:t>270-500</w:t>
            </w:r>
          </w:p>
        </w:tc>
      </w:tr>
    </w:tbl>
    <w:p w:rsidR="002E0451" w:rsidRDefault="002E0451" w:rsidP="002E0451">
      <w:pPr>
        <w:rPr>
          <w:rFonts w:ascii="Arial" w:hAnsi="Arial" w:cs="Arial"/>
          <w:noProof/>
          <w:color w:val="E36C0A" w:themeColor="accent6" w:themeShade="BF"/>
          <w:sz w:val="22"/>
          <w:szCs w:val="22"/>
        </w:rPr>
      </w:pPr>
    </w:p>
    <w:p w:rsidR="002E0451" w:rsidRDefault="002E0451" w:rsidP="002E0451">
      <w:pPr>
        <w:pStyle w:val="Default"/>
      </w:pPr>
    </w:p>
    <w:p w:rsidR="002E0451" w:rsidRDefault="002E0451" w:rsidP="002E0451">
      <w:pPr>
        <w:pStyle w:val="Default"/>
      </w:pPr>
    </w:p>
    <w:p w:rsidR="002E0451" w:rsidRDefault="002E0451" w:rsidP="002E0451">
      <w:pPr>
        <w:pStyle w:val="Default"/>
      </w:pPr>
    </w:p>
    <w:p w:rsidR="002E0451" w:rsidRDefault="002E0451" w:rsidP="002E0451">
      <w:pPr>
        <w:pStyle w:val="Default"/>
      </w:pPr>
    </w:p>
    <w:p w:rsidR="002E0451" w:rsidRDefault="002E0451" w:rsidP="002E0451">
      <w:pPr>
        <w:pStyle w:val="Default"/>
      </w:pPr>
      <w:r>
        <w:rPr>
          <w:noProof/>
        </w:rPr>
        <w:drawing>
          <wp:anchor distT="0" distB="0" distL="114300" distR="114300" simplePos="0" relativeHeight="251665408" behindDoc="0" locked="0" layoutInCell="1" allowOverlap="1">
            <wp:simplePos x="0" y="0"/>
            <wp:positionH relativeFrom="column">
              <wp:posOffset>4057650</wp:posOffset>
            </wp:positionH>
            <wp:positionV relativeFrom="paragraph">
              <wp:posOffset>81915</wp:posOffset>
            </wp:positionV>
            <wp:extent cx="2352675" cy="1019175"/>
            <wp:effectExtent l="19050" t="0" r="9525" b="0"/>
            <wp:wrapSquare wrapText="bothSides"/>
            <wp:docPr id="3" name="Picture 1" descr="\\ScottHaley-PC\DServer\The Resin Mill\Images\Company Logo\ResinMill_Logo_CMYK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ttHaley-PC\DServer\The Resin Mill\Images\Company Logo\ResinMill_Logo_CMYK_HiRes.jpg"/>
                    <pic:cNvPicPr>
                      <a:picLocks noChangeAspect="1" noChangeArrowheads="1"/>
                    </pic:cNvPicPr>
                  </pic:nvPicPr>
                  <pic:blipFill>
                    <a:blip r:embed="rId7" cstate="print"/>
                    <a:srcRect/>
                    <a:stretch>
                      <a:fillRect/>
                    </a:stretch>
                  </pic:blipFill>
                  <pic:spPr bwMode="auto">
                    <a:xfrm>
                      <a:off x="0" y="0"/>
                      <a:ext cx="2352675" cy="1019175"/>
                    </a:xfrm>
                    <a:prstGeom prst="rect">
                      <a:avLst/>
                    </a:prstGeom>
                    <a:noFill/>
                    <a:ln w="9525">
                      <a:noFill/>
                      <a:miter lim="800000"/>
                      <a:headEnd/>
                      <a:tailEnd/>
                    </a:ln>
                  </pic:spPr>
                </pic:pic>
              </a:graphicData>
            </a:graphic>
          </wp:anchor>
        </w:drawing>
      </w:r>
    </w:p>
    <w:p w:rsidR="002E0451" w:rsidRDefault="002E0451" w:rsidP="002E0451">
      <w:pPr>
        <w:pStyle w:val="Default"/>
      </w:pPr>
    </w:p>
    <w:p w:rsidR="002E0451" w:rsidRDefault="002E0451" w:rsidP="002E0451">
      <w:pPr>
        <w:pStyle w:val="Default"/>
      </w:pPr>
    </w:p>
    <w:p w:rsidR="002E0451" w:rsidRDefault="002E0451" w:rsidP="002E0451">
      <w:pPr>
        <w:pStyle w:val="Default"/>
      </w:pPr>
    </w:p>
    <w:p w:rsidR="002E0451" w:rsidRDefault="002E0451" w:rsidP="002E0451">
      <w:pPr>
        <w:pStyle w:val="Default"/>
      </w:pPr>
    </w:p>
    <w:p w:rsidR="002E0451" w:rsidRDefault="002E0451" w:rsidP="002E0451">
      <w:pPr>
        <w:pStyle w:val="Default"/>
      </w:pPr>
    </w:p>
    <w:p w:rsidR="002E0451" w:rsidRDefault="002E0451" w:rsidP="002E0451">
      <w:pPr>
        <w:pStyle w:val="Default"/>
      </w:pPr>
    </w:p>
    <w:p w:rsidR="002E0451" w:rsidRDefault="002E0451" w:rsidP="002E0451">
      <w:pPr>
        <w:pStyle w:val="Default"/>
      </w:pPr>
    </w:p>
    <w:p w:rsidR="002E0451" w:rsidRDefault="002E0451" w:rsidP="002E0451">
      <w:pPr>
        <w:pStyle w:val="Default"/>
        <w:shd w:val="clear" w:color="auto" w:fill="92CDDC" w:themeFill="accent5" w:themeFillTint="99"/>
      </w:pPr>
    </w:p>
    <w:p w:rsidR="002E0451" w:rsidRDefault="002E0451" w:rsidP="002E0451">
      <w:pPr>
        <w:shd w:val="clear" w:color="auto" w:fill="92CDDC" w:themeFill="accent5" w:themeFillTint="99"/>
        <w:jc w:val="center"/>
        <w:rPr>
          <w:b/>
          <w:sz w:val="36"/>
          <w:szCs w:val="36"/>
        </w:rPr>
      </w:pPr>
      <w:r>
        <w:rPr>
          <w:b/>
          <w:sz w:val="36"/>
          <w:szCs w:val="36"/>
        </w:rPr>
        <w:t>SECTION 4</w:t>
      </w:r>
    </w:p>
    <w:p w:rsidR="002E0451" w:rsidRDefault="002E0451" w:rsidP="002E0451">
      <w:pPr>
        <w:shd w:val="clear" w:color="auto" w:fill="92CDDC" w:themeFill="accent5" w:themeFillTint="99"/>
        <w:jc w:val="center"/>
        <w:rPr>
          <w:b/>
          <w:sz w:val="36"/>
          <w:szCs w:val="36"/>
        </w:rPr>
      </w:pPr>
      <w:r>
        <w:rPr>
          <w:b/>
          <w:sz w:val="36"/>
          <w:szCs w:val="36"/>
        </w:rPr>
        <w:t>Compliance</w:t>
      </w:r>
    </w:p>
    <w:p w:rsidR="002E0451" w:rsidRDefault="002E0451" w:rsidP="002E0451">
      <w:pPr>
        <w:rPr>
          <w:sz w:val="22"/>
          <w:szCs w:val="22"/>
        </w:rPr>
      </w:pPr>
    </w:p>
    <w:p w:rsidR="002E0451" w:rsidRDefault="002E0451" w:rsidP="002E0451">
      <w:pPr>
        <w:rPr>
          <w:sz w:val="22"/>
          <w:szCs w:val="22"/>
        </w:rPr>
      </w:pPr>
      <w:r>
        <w:rPr>
          <w:sz w:val="22"/>
          <w:szCs w:val="22"/>
        </w:rPr>
        <w:t>This product is exempt from registration under REACH regulations.  See SDS 40 on our web site.</w:t>
      </w:r>
    </w:p>
    <w:p w:rsidR="002E0451" w:rsidRDefault="002E0451" w:rsidP="002E0451">
      <w:pPr>
        <w:rPr>
          <w:sz w:val="22"/>
          <w:szCs w:val="22"/>
        </w:rPr>
      </w:pPr>
    </w:p>
    <w:p w:rsidR="002E0451" w:rsidRDefault="002E0451" w:rsidP="002E0451">
      <w:pPr>
        <w:rPr>
          <w:sz w:val="22"/>
          <w:szCs w:val="22"/>
        </w:rPr>
      </w:pPr>
      <w:r>
        <w:rPr>
          <w:sz w:val="22"/>
          <w:szCs w:val="22"/>
        </w:rPr>
        <w:t>Special Precautions -In use, protection is required to meet threshold limit values for general dusts of 10 mg/m3 (for total inhalable dust) and 5 mg/m3 (</w:t>
      </w:r>
      <w:proofErr w:type="spellStart"/>
      <w:r>
        <w:rPr>
          <w:sz w:val="22"/>
          <w:szCs w:val="22"/>
        </w:rPr>
        <w:t>respirable</w:t>
      </w:r>
      <w:proofErr w:type="spellEnd"/>
      <w:r>
        <w:rPr>
          <w:sz w:val="22"/>
          <w:szCs w:val="22"/>
        </w:rPr>
        <w:t xml:space="preserve"> dust). The user must establish any hazards present in the surface coatings being removed, which may reduce the occupational exposure standard (O.E.S.). </w:t>
      </w:r>
    </w:p>
    <w:p w:rsidR="002E0451" w:rsidRDefault="002E0451" w:rsidP="002E0451">
      <w:pPr>
        <w:rPr>
          <w:sz w:val="22"/>
          <w:szCs w:val="28"/>
        </w:rPr>
      </w:pPr>
    </w:p>
    <w:p w:rsidR="002E0451" w:rsidRDefault="002E0451" w:rsidP="002E0451">
      <w:pPr>
        <w:shd w:val="clear" w:color="auto" w:fill="92CDDC" w:themeFill="accent5" w:themeFillTint="99"/>
        <w:jc w:val="center"/>
        <w:rPr>
          <w:b/>
          <w:sz w:val="36"/>
          <w:szCs w:val="36"/>
        </w:rPr>
      </w:pPr>
      <w:r>
        <w:rPr>
          <w:b/>
          <w:sz w:val="36"/>
          <w:szCs w:val="36"/>
        </w:rPr>
        <w:t xml:space="preserve">SECTION 5 </w:t>
      </w:r>
    </w:p>
    <w:p w:rsidR="002E0451" w:rsidRDefault="002E0451" w:rsidP="002E0451">
      <w:pPr>
        <w:shd w:val="clear" w:color="auto" w:fill="92CDDC" w:themeFill="accent5" w:themeFillTint="99"/>
        <w:jc w:val="center"/>
        <w:rPr>
          <w:b/>
          <w:sz w:val="36"/>
          <w:szCs w:val="36"/>
        </w:rPr>
      </w:pPr>
      <w:r>
        <w:rPr>
          <w:b/>
          <w:sz w:val="36"/>
          <w:szCs w:val="36"/>
        </w:rPr>
        <w:t>Disposal</w:t>
      </w:r>
    </w:p>
    <w:p w:rsidR="002E0451" w:rsidRDefault="002E0451" w:rsidP="002E0451">
      <w:pPr>
        <w:rPr>
          <w:sz w:val="22"/>
          <w:szCs w:val="22"/>
        </w:rPr>
      </w:pPr>
    </w:p>
    <w:p w:rsidR="002E0451" w:rsidRDefault="002E0451" w:rsidP="002E0451">
      <w:pPr>
        <w:ind w:left="720"/>
        <w:rPr>
          <w:sz w:val="22"/>
          <w:szCs w:val="22"/>
        </w:rPr>
      </w:pPr>
      <w:r>
        <w:rPr>
          <w:sz w:val="22"/>
          <w:szCs w:val="22"/>
        </w:rPr>
        <w:t>The product must be disposed of in accordance with national legislation (See Section 16) and local regulations. The material as supplied is classed as a non-hazardous inert solid waste.  Spent abrasive used as a blasting medium must be disposed of under classification 12 01 16 (waste blasting material containing dangerous substances) or 12 01 17 (waste blasting material other than those mentioned in 12 01 16).  The waste producer must determine if hazardous substances in the coating being removed are likely to cause the waste to be hazardous.</w:t>
      </w:r>
    </w:p>
    <w:p w:rsidR="002E0451" w:rsidRDefault="002E0451" w:rsidP="002E0451">
      <w:pPr>
        <w:ind w:left="720"/>
        <w:rPr>
          <w:sz w:val="22"/>
          <w:szCs w:val="22"/>
        </w:rPr>
      </w:pPr>
    </w:p>
    <w:p w:rsidR="002E0451" w:rsidRDefault="002E0451" w:rsidP="002E0451">
      <w:pPr>
        <w:shd w:val="clear" w:color="auto" w:fill="92CDDC" w:themeFill="accent5" w:themeFillTint="99"/>
        <w:jc w:val="center"/>
        <w:rPr>
          <w:b/>
          <w:sz w:val="36"/>
          <w:szCs w:val="36"/>
        </w:rPr>
      </w:pPr>
      <w:r>
        <w:rPr>
          <w:b/>
          <w:sz w:val="36"/>
          <w:szCs w:val="36"/>
        </w:rPr>
        <w:t>SECTION 6</w:t>
      </w:r>
    </w:p>
    <w:p w:rsidR="002E0451" w:rsidRDefault="002E0451" w:rsidP="002E0451">
      <w:pPr>
        <w:shd w:val="clear" w:color="auto" w:fill="92CDDC" w:themeFill="accent5" w:themeFillTint="99"/>
        <w:jc w:val="center"/>
        <w:rPr>
          <w:b/>
          <w:sz w:val="36"/>
          <w:szCs w:val="36"/>
        </w:rPr>
      </w:pPr>
      <w:r>
        <w:rPr>
          <w:b/>
          <w:sz w:val="36"/>
          <w:szCs w:val="36"/>
        </w:rPr>
        <w:t>Handling and Storage</w:t>
      </w:r>
    </w:p>
    <w:p w:rsidR="002E0451" w:rsidRDefault="002E0451" w:rsidP="002E0451">
      <w:pPr>
        <w:rPr>
          <w:sz w:val="22"/>
          <w:szCs w:val="28"/>
        </w:rPr>
      </w:pPr>
    </w:p>
    <w:p w:rsidR="002E0451" w:rsidRDefault="002E0451" w:rsidP="002E0451">
      <w:pPr>
        <w:pStyle w:val="CM4"/>
        <w:spacing w:after="317" w:line="260" w:lineRule="atLeast"/>
        <w:ind w:left="851"/>
        <w:rPr>
          <w:rFonts w:ascii="DIODD K+ Arial MT" w:hAnsi="DIODD K+ Arial MT" w:cs="DIODD K+ Arial MT"/>
          <w:sz w:val="21"/>
          <w:szCs w:val="21"/>
        </w:rPr>
      </w:pPr>
      <w:r>
        <w:rPr>
          <w:rFonts w:ascii="DIODD K+ Arial MT" w:hAnsi="DIODD K+ Arial MT" w:cs="DIODD K+ Arial MT"/>
          <w:sz w:val="21"/>
          <w:szCs w:val="21"/>
        </w:rPr>
        <w:t xml:space="preserve">Load per pallet should not exceed 1 tonne and the pallets should not be stacked more than two high. Material should be kept dry. </w:t>
      </w:r>
    </w:p>
    <w:p w:rsidR="00213F9A" w:rsidRDefault="00213F9A" w:rsidP="00F20C64">
      <w:pPr>
        <w:jc w:val="center"/>
        <w:rPr>
          <w:b/>
          <w:color w:val="31849B" w:themeColor="accent5" w:themeShade="BF"/>
          <w:sz w:val="40"/>
          <w:u w:val="single"/>
          <w:lang w:val="en-GB"/>
        </w:rPr>
      </w:pPr>
    </w:p>
    <w:p w:rsidR="00053BA0" w:rsidRPr="00053BA0" w:rsidRDefault="00053BA0" w:rsidP="00F20C64">
      <w:pPr>
        <w:jc w:val="center"/>
        <w:rPr>
          <w:b/>
          <w:color w:val="31849B" w:themeColor="accent5" w:themeShade="BF"/>
          <w:sz w:val="28"/>
          <w:szCs w:val="28"/>
          <w:u w:val="single"/>
          <w:lang w:val="en-GB"/>
        </w:rPr>
      </w:pPr>
      <w:r>
        <w:rPr>
          <w:b/>
          <w:color w:val="31849B" w:themeColor="accent5" w:themeShade="BF"/>
          <w:sz w:val="28"/>
          <w:szCs w:val="28"/>
          <w:u w:val="single"/>
          <w:lang w:val="en-GB"/>
        </w:rPr>
        <w:t>Email</w:t>
      </w:r>
      <w:proofErr w:type="gramStart"/>
      <w:r>
        <w:rPr>
          <w:b/>
          <w:color w:val="31849B" w:themeColor="accent5" w:themeShade="BF"/>
          <w:sz w:val="28"/>
          <w:szCs w:val="28"/>
          <w:u w:val="single"/>
          <w:lang w:val="en-GB"/>
        </w:rPr>
        <w:t>:-</w:t>
      </w:r>
      <w:proofErr w:type="gramEnd"/>
      <w:r>
        <w:rPr>
          <w:b/>
          <w:color w:val="31849B" w:themeColor="accent5" w:themeShade="BF"/>
          <w:sz w:val="28"/>
          <w:szCs w:val="28"/>
          <w:u w:val="single"/>
          <w:lang w:val="en-GB"/>
        </w:rPr>
        <w:t xml:space="preserve"> </w:t>
      </w:r>
      <w:hyperlink r:id="rId8" w:history="1">
        <w:r w:rsidRPr="009258E3">
          <w:rPr>
            <w:rStyle w:val="Hyperlink"/>
            <w:b/>
            <w:sz w:val="28"/>
            <w:szCs w:val="28"/>
            <w:lang w:val="en-GB"/>
          </w:rPr>
          <w:t>info@theresinmill.co.uk</w:t>
        </w:r>
      </w:hyperlink>
      <w:r>
        <w:rPr>
          <w:b/>
          <w:color w:val="31849B" w:themeColor="accent5" w:themeShade="BF"/>
          <w:sz w:val="28"/>
          <w:szCs w:val="28"/>
          <w:u w:val="single"/>
          <w:lang w:val="en-GB"/>
        </w:rPr>
        <w:t xml:space="preserve"> </w:t>
      </w:r>
    </w:p>
    <w:sectPr w:rsidR="00053BA0" w:rsidRPr="00053BA0" w:rsidSect="00213F9A">
      <w:footerReference w:type="default" r:id="rId9"/>
      <w:pgSz w:w="11900" w:h="16840"/>
      <w:pgMar w:top="720" w:right="720" w:bottom="720" w:left="720"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3A8" w:rsidRDefault="00BC03A8" w:rsidP="007E12B5">
      <w:pPr>
        <w:spacing w:after="0"/>
      </w:pPr>
      <w:r>
        <w:separator/>
      </w:r>
    </w:p>
  </w:endnote>
  <w:endnote w:type="continuationSeparator" w:id="0">
    <w:p w:rsidR="00BC03A8" w:rsidRDefault="00BC03A8" w:rsidP="007E12B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JKHI L+ Times New Roman PSMT">
    <w:altName w:val="Times New Roman PS"/>
    <w:panose1 w:val="00000000000000000000"/>
    <w:charset w:val="00"/>
    <w:family w:val="roman"/>
    <w:notTrueType/>
    <w:pitch w:val="default"/>
    <w:sig w:usb0="00000003" w:usb1="00000000" w:usb2="00000000" w:usb3="00000000" w:csb0="00000001" w:csb1="00000000"/>
  </w:font>
  <w:font w:name="DIOPD G+ 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IODD K+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2B5" w:rsidRPr="00213F9A" w:rsidRDefault="007E12B5" w:rsidP="002A2A29">
    <w:pPr>
      <w:pStyle w:val="Footer"/>
      <w:jc w:val="center"/>
      <w:rPr>
        <w:rFonts w:asciiTheme="majorHAnsi" w:hAnsiTheme="majorHAnsi"/>
        <w:sz w:val="20"/>
        <w:szCs w:val="20"/>
      </w:rPr>
    </w:pPr>
    <w:r w:rsidRPr="00213F9A">
      <w:rPr>
        <w:rFonts w:asciiTheme="majorHAnsi" w:hAnsiTheme="majorHAnsi"/>
        <w:sz w:val="20"/>
        <w:szCs w:val="20"/>
      </w:rPr>
      <w:t xml:space="preserve">The Resin Mill Ltd, St Pegs Mill, </w:t>
    </w:r>
    <w:proofErr w:type="spellStart"/>
    <w:r w:rsidRPr="00213F9A">
      <w:rPr>
        <w:rFonts w:asciiTheme="majorHAnsi" w:hAnsiTheme="majorHAnsi"/>
        <w:sz w:val="20"/>
        <w:szCs w:val="20"/>
      </w:rPr>
      <w:t>Thornhill</w:t>
    </w:r>
    <w:proofErr w:type="spellEnd"/>
    <w:r w:rsidRPr="00213F9A">
      <w:rPr>
        <w:rFonts w:asciiTheme="majorHAnsi" w:hAnsiTheme="majorHAnsi"/>
        <w:sz w:val="20"/>
        <w:szCs w:val="20"/>
      </w:rPr>
      <w:t xml:space="preserve"> Beck Lane, </w:t>
    </w:r>
    <w:proofErr w:type="spellStart"/>
    <w:r w:rsidRPr="00213F9A">
      <w:rPr>
        <w:rFonts w:asciiTheme="majorHAnsi" w:hAnsiTheme="majorHAnsi"/>
        <w:sz w:val="20"/>
        <w:szCs w:val="20"/>
      </w:rPr>
      <w:t>Brighouse</w:t>
    </w:r>
    <w:proofErr w:type="spellEnd"/>
    <w:r w:rsidRPr="00213F9A">
      <w:rPr>
        <w:rFonts w:asciiTheme="majorHAnsi" w:hAnsiTheme="majorHAnsi"/>
        <w:sz w:val="20"/>
        <w:szCs w:val="20"/>
      </w:rPr>
      <w:t>, HD6 4AH.</w:t>
    </w:r>
  </w:p>
  <w:p w:rsidR="007E12B5" w:rsidRPr="00213F9A" w:rsidRDefault="007E12B5" w:rsidP="002A2A29">
    <w:pPr>
      <w:pStyle w:val="Footer"/>
      <w:jc w:val="center"/>
      <w:rPr>
        <w:rFonts w:asciiTheme="majorHAnsi" w:hAnsiTheme="majorHAnsi"/>
        <w:sz w:val="20"/>
        <w:szCs w:val="20"/>
      </w:rPr>
    </w:pPr>
    <w:r w:rsidRPr="00213F9A">
      <w:rPr>
        <w:rFonts w:asciiTheme="majorHAnsi" w:hAnsiTheme="majorHAnsi"/>
        <w:sz w:val="20"/>
        <w:szCs w:val="20"/>
      </w:rPr>
      <w:t>Web</w:t>
    </w:r>
    <w:proofErr w:type="gramStart"/>
    <w:r w:rsidRPr="00213F9A">
      <w:rPr>
        <w:rFonts w:asciiTheme="majorHAnsi" w:hAnsiTheme="majorHAnsi"/>
        <w:sz w:val="20"/>
        <w:szCs w:val="20"/>
      </w:rPr>
      <w:t>:-</w:t>
    </w:r>
    <w:proofErr w:type="gramEnd"/>
    <w:r w:rsidRPr="00213F9A">
      <w:rPr>
        <w:rFonts w:asciiTheme="majorHAnsi" w:hAnsiTheme="majorHAnsi"/>
        <w:sz w:val="20"/>
        <w:szCs w:val="20"/>
      </w:rPr>
      <w:t xml:space="preserve"> </w:t>
    </w:r>
    <w:hyperlink r:id="rId1" w:history="1">
      <w:r w:rsidRPr="00213F9A">
        <w:rPr>
          <w:rStyle w:val="Hyperlink"/>
          <w:rFonts w:asciiTheme="majorHAnsi" w:hAnsiTheme="majorHAnsi"/>
          <w:sz w:val="20"/>
          <w:szCs w:val="20"/>
        </w:rPr>
        <w:t>www.theresinmill.co.uk</w:t>
      </w:r>
    </w:hyperlink>
    <w:r w:rsidR="002A2A29" w:rsidRPr="00213F9A">
      <w:rPr>
        <w:rFonts w:asciiTheme="majorHAnsi" w:hAnsiTheme="majorHAnsi"/>
        <w:sz w:val="20"/>
        <w:szCs w:val="20"/>
      </w:rPr>
      <w:t xml:space="preserve"> </w:t>
    </w:r>
    <w:r w:rsidRPr="00213F9A">
      <w:rPr>
        <w:rFonts w:asciiTheme="majorHAnsi" w:hAnsiTheme="majorHAnsi"/>
        <w:sz w:val="20"/>
        <w:szCs w:val="20"/>
      </w:rPr>
      <w:t xml:space="preserve"> Email</w:t>
    </w:r>
    <w:r w:rsidR="002A2A29" w:rsidRPr="00213F9A">
      <w:rPr>
        <w:rFonts w:asciiTheme="majorHAnsi" w:hAnsiTheme="majorHAnsi"/>
        <w:sz w:val="20"/>
        <w:szCs w:val="20"/>
      </w:rPr>
      <w:t>:-</w:t>
    </w:r>
    <w:r w:rsidRPr="00213F9A">
      <w:rPr>
        <w:rFonts w:asciiTheme="majorHAnsi" w:hAnsiTheme="majorHAnsi"/>
        <w:sz w:val="20"/>
        <w:szCs w:val="20"/>
      </w:rPr>
      <w:t xml:space="preserve"> </w:t>
    </w:r>
    <w:hyperlink r:id="rId2" w:history="1">
      <w:r w:rsidRPr="00213F9A">
        <w:rPr>
          <w:rStyle w:val="Hyperlink"/>
          <w:rFonts w:asciiTheme="majorHAnsi" w:hAnsiTheme="majorHAnsi"/>
          <w:sz w:val="20"/>
          <w:szCs w:val="20"/>
        </w:rPr>
        <w:t>info@theresinmill.co.uk</w:t>
      </w:r>
    </w:hyperlink>
    <w:r w:rsidR="002A2A29" w:rsidRPr="00213F9A">
      <w:rPr>
        <w:rFonts w:asciiTheme="majorHAnsi" w:hAnsiTheme="majorHAnsi"/>
        <w:sz w:val="20"/>
        <w:szCs w:val="20"/>
      </w:rPr>
      <w:t xml:space="preserve">  </w:t>
    </w:r>
    <w:hyperlink r:id="rId3" w:history="1">
      <w:r w:rsidR="002A2A29" w:rsidRPr="00213F9A">
        <w:rPr>
          <w:rStyle w:val="Hyperlink"/>
          <w:rFonts w:asciiTheme="majorHAnsi" w:hAnsiTheme="majorHAnsi"/>
          <w:sz w:val="20"/>
          <w:szCs w:val="20"/>
        </w:rPr>
        <w:t>Tel:-</w:t>
      </w:r>
    </w:hyperlink>
    <w:r w:rsidR="002A2A29" w:rsidRPr="00213F9A">
      <w:rPr>
        <w:rFonts w:asciiTheme="majorHAnsi" w:hAnsiTheme="majorHAnsi"/>
        <w:sz w:val="20"/>
        <w:szCs w:val="20"/>
      </w:rPr>
      <w:t xml:space="preserve"> 01484 400855</w:t>
    </w:r>
  </w:p>
  <w:p w:rsidR="007E12B5" w:rsidRPr="00213F9A" w:rsidRDefault="007E12B5" w:rsidP="002A2A29">
    <w:pPr>
      <w:pStyle w:val="Footer"/>
      <w:jc w:val="center"/>
      <w:rPr>
        <w:rFonts w:asciiTheme="majorHAnsi" w:hAnsiTheme="majorHAns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3A8" w:rsidRDefault="00BC03A8" w:rsidP="007E12B5">
      <w:pPr>
        <w:spacing w:after="0"/>
      </w:pPr>
      <w:r>
        <w:separator/>
      </w:r>
    </w:p>
  </w:footnote>
  <w:footnote w:type="continuationSeparator" w:id="0">
    <w:p w:rsidR="00BC03A8" w:rsidRDefault="00BC03A8" w:rsidP="007E12B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E6ABB"/>
    <w:multiLevelType w:val="hybridMultilevel"/>
    <w:tmpl w:val="A91A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GB" w:vendorID="64" w:dllVersion="131078" w:nlCheck="1" w:checkStyle="1"/>
  <w:proofState w:spelling="clean" w:grammar="clean"/>
  <w:doNotTrackMoves/>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F20C64"/>
    <w:rsid w:val="00002011"/>
    <w:rsid w:val="00044433"/>
    <w:rsid w:val="00053BA0"/>
    <w:rsid w:val="000E5DAA"/>
    <w:rsid w:val="00186C8E"/>
    <w:rsid w:val="00213F9A"/>
    <w:rsid w:val="002A2A29"/>
    <w:rsid w:val="002E0451"/>
    <w:rsid w:val="003826B8"/>
    <w:rsid w:val="00566110"/>
    <w:rsid w:val="00600841"/>
    <w:rsid w:val="0071046A"/>
    <w:rsid w:val="007457A7"/>
    <w:rsid w:val="007B04E0"/>
    <w:rsid w:val="007E12B5"/>
    <w:rsid w:val="009D3105"/>
    <w:rsid w:val="00BC03A8"/>
    <w:rsid w:val="00BE3159"/>
    <w:rsid w:val="00C8464A"/>
    <w:rsid w:val="00CE6AD1"/>
    <w:rsid w:val="00EC3463"/>
    <w:rsid w:val="00F20C64"/>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F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19B"/>
    <w:rPr>
      <w:color w:val="0000FF" w:themeColor="hyperlink"/>
      <w:u w:val="single"/>
    </w:rPr>
  </w:style>
  <w:style w:type="paragraph" w:styleId="BalloonText">
    <w:name w:val="Balloon Text"/>
    <w:basedOn w:val="Normal"/>
    <w:link w:val="BalloonTextChar"/>
    <w:uiPriority w:val="99"/>
    <w:semiHidden/>
    <w:unhideWhenUsed/>
    <w:rsid w:val="00186C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C8E"/>
    <w:rPr>
      <w:rFonts w:ascii="Tahoma" w:hAnsi="Tahoma" w:cs="Tahoma"/>
      <w:sz w:val="16"/>
      <w:szCs w:val="16"/>
    </w:rPr>
  </w:style>
  <w:style w:type="paragraph" w:styleId="ListParagraph">
    <w:name w:val="List Paragraph"/>
    <w:basedOn w:val="Normal"/>
    <w:uiPriority w:val="34"/>
    <w:qFormat/>
    <w:rsid w:val="00BE3159"/>
    <w:pPr>
      <w:ind w:left="720"/>
      <w:contextualSpacing/>
    </w:pPr>
  </w:style>
  <w:style w:type="paragraph" w:styleId="Header">
    <w:name w:val="header"/>
    <w:basedOn w:val="Normal"/>
    <w:link w:val="HeaderChar"/>
    <w:uiPriority w:val="99"/>
    <w:semiHidden/>
    <w:unhideWhenUsed/>
    <w:rsid w:val="007E12B5"/>
    <w:pPr>
      <w:tabs>
        <w:tab w:val="center" w:pos="4513"/>
        <w:tab w:val="right" w:pos="9026"/>
      </w:tabs>
      <w:spacing w:after="0"/>
    </w:pPr>
  </w:style>
  <w:style w:type="character" w:customStyle="1" w:styleId="HeaderChar">
    <w:name w:val="Header Char"/>
    <w:basedOn w:val="DefaultParagraphFont"/>
    <w:link w:val="Header"/>
    <w:uiPriority w:val="99"/>
    <w:semiHidden/>
    <w:rsid w:val="007E12B5"/>
  </w:style>
  <w:style w:type="paragraph" w:styleId="Footer">
    <w:name w:val="footer"/>
    <w:basedOn w:val="Normal"/>
    <w:link w:val="FooterChar"/>
    <w:uiPriority w:val="99"/>
    <w:unhideWhenUsed/>
    <w:rsid w:val="007E12B5"/>
    <w:pPr>
      <w:tabs>
        <w:tab w:val="center" w:pos="4513"/>
        <w:tab w:val="right" w:pos="9026"/>
      </w:tabs>
      <w:spacing w:after="0"/>
    </w:pPr>
  </w:style>
  <w:style w:type="character" w:customStyle="1" w:styleId="FooterChar">
    <w:name w:val="Footer Char"/>
    <w:basedOn w:val="DefaultParagraphFont"/>
    <w:link w:val="Footer"/>
    <w:uiPriority w:val="99"/>
    <w:rsid w:val="007E12B5"/>
  </w:style>
  <w:style w:type="paragraph" w:customStyle="1" w:styleId="Default">
    <w:name w:val="Default"/>
    <w:rsid w:val="002E0451"/>
    <w:pPr>
      <w:widowControl w:val="0"/>
      <w:autoSpaceDE w:val="0"/>
      <w:autoSpaceDN w:val="0"/>
      <w:adjustRightInd w:val="0"/>
      <w:spacing w:after="0"/>
    </w:pPr>
    <w:rPr>
      <w:rFonts w:ascii="EJKHI L+ Times New Roman PSMT" w:eastAsiaTheme="minorEastAsia" w:hAnsi="EJKHI L+ Times New Roman PSMT" w:cs="EJKHI L+ Times New Roman PSMT"/>
      <w:color w:val="000000"/>
      <w:lang w:val="en-GB" w:eastAsia="en-GB"/>
    </w:rPr>
  </w:style>
  <w:style w:type="paragraph" w:customStyle="1" w:styleId="CM4">
    <w:name w:val="CM4"/>
    <w:basedOn w:val="Default"/>
    <w:next w:val="Default"/>
    <w:uiPriority w:val="99"/>
    <w:rsid w:val="002E0451"/>
    <w:rPr>
      <w:rFonts w:ascii="DIOPD G+ Arial MT" w:hAnsi="DIOPD G+ Arial MT" w:cstheme="minorBidi"/>
      <w:color w:val="auto"/>
    </w:rPr>
  </w:style>
  <w:style w:type="table" w:styleId="TableGrid">
    <w:name w:val="Table Grid"/>
    <w:basedOn w:val="TableNormal"/>
    <w:uiPriority w:val="59"/>
    <w:rsid w:val="002E0451"/>
    <w:pPr>
      <w:spacing w:after="0"/>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07145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resinmil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Tel:-" TargetMode="External"/><Relationship Id="rId2" Type="http://schemas.openxmlformats.org/officeDocument/2006/relationships/hyperlink" Target="mailto:info@theresinmill.co.uk" TargetMode="External"/><Relationship Id="rId1" Type="http://schemas.openxmlformats.org/officeDocument/2006/relationships/hyperlink" Target="http://www.theresinmi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hx§</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Sales Office</dc:creator>
  <cp:lastModifiedBy>Sales Office</cp:lastModifiedBy>
  <cp:revision>3</cp:revision>
  <cp:lastPrinted>2016-06-23T14:56:00Z</cp:lastPrinted>
  <dcterms:created xsi:type="dcterms:W3CDTF">2016-06-23T14:54:00Z</dcterms:created>
  <dcterms:modified xsi:type="dcterms:W3CDTF">2016-06-23T14:57:00Z</dcterms:modified>
</cp:coreProperties>
</file>