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p w14:paraId="00000002">
      <w:pPr>
        <w:pStyle w:val="23"/>
      </w:pPr>
      <w:r>
        <w:rPr>
          <w:rtl w:val="0"/>
        </w:rPr>
        <w:t>Fiche de Données de Sécurité</w:t>
      </w:r>
    </w:p>
    <w:tbl>
      <w:tblPr>
        <w:tblStyle w:val="8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29613D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0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004">
            <w:pPr>
              <w:jc w:val="center"/>
              <w:rPr>
                <w:b/>
                <w:sz w:val="16"/>
                <w:szCs w:val="16"/>
              </w:rPr>
            </w:pPr>
            <w:r>
              <w:rPr>
                <w:b/>
                <w:sz w:val="16"/>
                <w:szCs w:val="16"/>
                <w:rtl w:val="0"/>
              </w:rPr>
              <w:t>section</w:t>
            </w:r>
          </w:p>
        </w:tc>
        <w:tc>
          <w:tcPr>
            <w:shd w:val="clear" w:color="auto" w:fill="A8D8A7"/>
            <w:vAlign w:val="center"/>
          </w:tcPr>
          <w:p w14:paraId="0000000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w:t>
            </w:r>
          </w:p>
        </w:tc>
        <w:tc>
          <w:tcPr>
            <w:shd w:val="clear" w:color="auto" w:fill="A8D8A7"/>
            <w:vAlign w:val="center"/>
          </w:tcPr>
          <w:p w14:paraId="00000006">
            <w:pPr>
              <w:pStyle w:val="2"/>
              <w:spacing w:line="240" w:lineRule="auto"/>
            </w:pPr>
            <w:r>
              <w:rPr>
                <w:rtl w:val="0"/>
              </w:rPr>
              <w:t>Identification de la substance/du mélange et de la société/l’entreprise</w:t>
            </w:r>
          </w:p>
        </w:tc>
        <w:tc>
          <w:tcPr>
            <w:shd w:val="clear" w:color="auto" w:fill="A8D8A7"/>
            <w:vAlign w:val="center"/>
          </w:tcPr>
          <w:p w14:paraId="0000000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008"/>
    <w:tbl>
      <w:tblPr>
        <w:tblStyle w:val="8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E92D1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09"/>
        </w:tc>
        <w:tc>
          <w:p w14:paraId="0000000A">
            <w:pPr>
              <w:pStyle w:val="3"/>
              <w:spacing w:after="0" w:line="240" w:lineRule="auto"/>
              <w:rPr>
                <w:sz w:val="28"/>
                <w:szCs w:val="28"/>
              </w:rPr>
            </w:pPr>
            <w:r>
              <w:rPr>
                <w:rtl w:val="0"/>
              </w:rPr>
              <w:t>1.1</w:t>
            </w:r>
          </w:p>
        </w:tc>
        <w:tc>
          <w:p w14:paraId="0000000B">
            <w:pPr>
              <w:pStyle w:val="3"/>
              <w:spacing w:after="0" w:line="240" w:lineRule="auto"/>
            </w:pPr>
            <w:r>
              <w:rPr>
                <w:rtl w:val="0"/>
              </w:rPr>
              <w:t>Identificateur de produit</w:t>
            </w:r>
          </w:p>
        </w:tc>
      </w:tr>
      <w:tr w14:paraId="1C022E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0C"/>
        </w:tc>
        <w:tc>
          <w:p w14:paraId="0000000D"/>
        </w:tc>
        <w:tc>
          <w:p w14:paraId="0000000E">
            <w:r>
              <w:rPr>
                <w:sz w:val="12"/>
                <w:szCs w:val="12"/>
              </w:rPr>
              <w:drawing>
                <wp:inline distT="0" distB="0" distL="0" distR="0">
                  <wp:extent cx="405765" cy="37465"/>
                  <wp:effectExtent l="0" t="0" r="0" b="0"/>
                  <wp:docPr id="110" name="image1.jpg"/>
                  <wp:cNvGraphicFramePr/>
                  <a:graphic xmlns:a="http://schemas.openxmlformats.org/drawingml/2006/main">
                    <a:graphicData uri="http://schemas.openxmlformats.org/drawingml/2006/picture">
                      <pic:pic xmlns:pic="http://schemas.openxmlformats.org/drawingml/2006/picture">
                        <pic:nvPicPr>
                          <pic:cNvPr id="11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0F"/>
    <w:tbl>
      <w:tblPr>
        <w:tblStyle w:val="89"/>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681DC4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10">
            <w:pPr>
              <w:rPr>
                <w:b/>
              </w:rPr>
            </w:pPr>
            <w:r>
              <w:rPr>
                <w:b/>
                <w:color w:val="000000"/>
                <w:rtl w:val="0"/>
              </w:rPr>
              <w:t>Nom du produit</w:t>
            </w:r>
          </w:p>
        </w:tc>
        <w:tc>
          <w:p w14:paraId="00000011">
            <w:r>
              <w:rPr>
                <w:rtl w:val="0"/>
              </w:rPr>
              <w:t>:</w:t>
            </w:r>
          </w:p>
        </w:tc>
        <w:tc>
          <w:p w14:paraId="00000012">
            <w:r>
              <w:rPr>
                <w:rFonts w:hint="default"/>
                <w:rtl w:val="0"/>
                <w:lang w:val="fr-FR"/>
              </w:rPr>
              <w:t>Lady Glitter</w:t>
            </w:r>
            <w:r>
              <w:rPr>
                <w:rtl w:val="0"/>
              </w:rPr>
              <w:t xml:space="preserve"> (FDS 10%).</w:t>
            </w:r>
          </w:p>
        </w:tc>
      </w:tr>
      <w:tr w14:paraId="43DBB8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13">
            <w:pPr>
              <w:rPr>
                <w:b/>
              </w:rPr>
            </w:pPr>
            <w:r>
              <w:rPr>
                <w:b/>
                <w:color w:val="000000"/>
                <w:rtl w:val="0"/>
              </w:rPr>
              <w:t>N° d'article (utilisateur)</w:t>
            </w:r>
          </w:p>
        </w:tc>
        <w:tc>
          <w:p w14:paraId="00000014">
            <w:r>
              <w:rPr>
                <w:rtl w:val="0"/>
              </w:rPr>
              <w:t>:</w:t>
            </w:r>
          </w:p>
        </w:tc>
        <w:tc>
          <w:p w14:paraId="00000015"/>
        </w:tc>
      </w:tr>
    </w:tbl>
    <w:p w14:paraId="00000016"/>
    <w:tbl>
      <w:tblPr>
        <w:tblStyle w:val="9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FC23A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17"/>
        </w:tc>
        <w:tc>
          <w:p w14:paraId="00000018">
            <w:pPr>
              <w:pStyle w:val="3"/>
              <w:spacing w:after="0" w:line="240" w:lineRule="auto"/>
              <w:rPr>
                <w:sz w:val="28"/>
                <w:szCs w:val="28"/>
              </w:rPr>
            </w:pPr>
            <w:r>
              <w:rPr>
                <w:rtl w:val="0"/>
              </w:rPr>
              <w:t>1.2</w:t>
            </w:r>
          </w:p>
        </w:tc>
        <w:tc>
          <w:p w14:paraId="00000019">
            <w:pPr>
              <w:pStyle w:val="3"/>
              <w:spacing w:after="0" w:line="240" w:lineRule="auto"/>
            </w:pPr>
            <w:r>
              <w:rPr>
                <w:rtl w:val="0"/>
              </w:rPr>
              <w:t>Utilisations identifiées pertinentes de la substance ou du mélange et utilisations déconseillées</w:t>
            </w:r>
          </w:p>
        </w:tc>
      </w:tr>
      <w:tr w14:paraId="31C022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1A"/>
        </w:tc>
        <w:tc>
          <w:p w14:paraId="0000001B"/>
        </w:tc>
        <w:tc>
          <w:p w14:paraId="0000001C">
            <w:r>
              <w:rPr>
                <w:sz w:val="12"/>
                <w:szCs w:val="12"/>
              </w:rPr>
              <w:drawing>
                <wp:inline distT="0" distB="0" distL="0" distR="0">
                  <wp:extent cx="405765" cy="37465"/>
                  <wp:effectExtent l="0" t="0" r="0" b="0"/>
                  <wp:docPr id="112" name="image1.jpg"/>
                  <wp:cNvGraphicFramePr/>
                  <a:graphic xmlns:a="http://schemas.openxmlformats.org/drawingml/2006/main">
                    <a:graphicData uri="http://schemas.openxmlformats.org/drawingml/2006/picture">
                      <pic:pic xmlns:pic="http://schemas.openxmlformats.org/drawingml/2006/picture">
                        <pic:nvPicPr>
                          <pic:cNvPr id="11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1D"/>
    <w:tbl>
      <w:tblPr>
        <w:tblStyle w:val="91"/>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351791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1E">
            <w:pPr>
              <w:rPr>
                <w:b/>
              </w:rPr>
            </w:pPr>
            <w:r>
              <w:rPr>
                <w:b/>
                <w:color w:val="000000"/>
                <w:rtl w:val="0"/>
              </w:rPr>
              <w:t>Utilisations contre indiquées</w:t>
            </w:r>
          </w:p>
        </w:tc>
        <w:tc>
          <w:p w14:paraId="0000001F">
            <w:r>
              <w:rPr>
                <w:rtl w:val="0"/>
              </w:rPr>
              <w:t>:</w:t>
            </w:r>
          </w:p>
        </w:tc>
        <w:tc>
          <w:p w14:paraId="00000020">
            <w:r>
              <w:rPr>
                <w:rtl w:val="0"/>
              </w:rPr>
              <w:t>Aucune donnée disponible.</w:t>
            </w:r>
          </w:p>
        </w:tc>
      </w:tr>
    </w:tbl>
    <w:p w14:paraId="00000021"/>
    <w:tbl>
      <w:tblPr>
        <w:tblStyle w:val="9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E0399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22"/>
        </w:tc>
        <w:tc>
          <w:p w14:paraId="00000023">
            <w:pPr>
              <w:pStyle w:val="3"/>
              <w:spacing w:after="0" w:line="240" w:lineRule="auto"/>
              <w:rPr>
                <w:sz w:val="28"/>
                <w:szCs w:val="28"/>
              </w:rPr>
            </w:pPr>
            <w:r>
              <w:rPr>
                <w:rtl w:val="0"/>
              </w:rPr>
              <w:t>1.3</w:t>
            </w:r>
          </w:p>
        </w:tc>
        <w:tc>
          <w:p w14:paraId="00000024">
            <w:pPr>
              <w:pStyle w:val="3"/>
              <w:spacing w:after="0" w:line="240" w:lineRule="auto"/>
            </w:pPr>
            <w:r>
              <w:rPr>
                <w:rtl w:val="0"/>
              </w:rPr>
              <w:t>Renseignements concernant le fournisseur de la fiche de données de sécurité</w:t>
            </w:r>
          </w:p>
        </w:tc>
      </w:tr>
      <w:tr w14:paraId="173AB7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25"/>
        </w:tc>
        <w:tc>
          <w:p w14:paraId="00000026"/>
        </w:tc>
        <w:tc>
          <w:p w14:paraId="00000027">
            <w:r>
              <w:rPr>
                <w:sz w:val="12"/>
                <w:szCs w:val="12"/>
              </w:rPr>
              <w:drawing>
                <wp:inline distT="0" distB="0" distL="0" distR="0">
                  <wp:extent cx="405765" cy="37465"/>
                  <wp:effectExtent l="0" t="0" r="0" b="0"/>
                  <wp:docPr id="111" name="image1.jpg"/>
                  <wp:cNvGraphicFramePr/>
                  <a:graphic xmlns:a="http://schemas.openxmlformats.org/drawingml/2006/main">
                    <a:graphicData uri="http://schemas.openxmlformats.org/drawingml/2006/picture">
                      <pic:pic xmlns:pic="http://schemas.openxmlformats.org/drawingml/2006/picture">
                        <pic:nvPicPr>
                          <pic:cNvPr id="11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28"/>
    <w:tbl>
      <w:tblPr>
        <w:tblStyle w:val="93"/>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4F5813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29">
            <w:pPr>
              <w:rPr>
                <w:b/>
              </w:rPr>
            </w:pPr>
            <w:r>
              <w:rPr>
                <w:b/>
                <w:color w:val="000000"/>
                <w:rtl w:val="0"/>
              </w:rPr>
              <w:t>Fournisseur</w:t>
            </w:r>
          </w:p>
        </w:tc>
        <w:tc>
          <w:p w14:paraId="0000002A">
            <w:r>
              <w:rPr>
                <w:rtl w:val="0"/>
              </w:rPr>
              <w:t>:</w:t>
            </w:r>
          </w:p>
        </w:tc>
        <w:tc>
          <w:p w14:paraId="00000031"/>
        </w:tc>
      </w:tr>
    </w:tbl>
    <w:p w14:paraId="00000032"/>
    <w:tbl>
      <w:tblPr>
        <w:tblStyle w:val="9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8A555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33"/>
        </w:tc>
        <w:tc>
          <w:p w14:paraId="00000034">
            <w:pPr>
              <w:pStyle w:val="3"/>
              <w:spacing w:after="0" w:line="240" w:lineRule="auto"/>
              <w:rPr>
                <w:sz w:val="28"/>
                <w:szCs w:val="28"/>
              </w:rPr>
            </w:pPr>
            <w:r>
              <w:rPr>
                <w:rtl w:val="0"/>
              </w:rPr>
              <w:t>1.4</w:t>
            </w:r>
          </w:p>
        </w:tc>
        <w:tc>
          <w:p w14:paraId="00000035">
            <w:pPr>
              <w:pStyle w:val="3"/>
              <w:spacing w:after="0" w:line="240" w:lineRule="auto"/>
            </w:pPr>
            <w:r>
              <w:rPr>
                <w:rtl w:val="0"/>
              </w:rPr>
              <w:t>Numéro d’appel d’urgence</w:t>
            </w:r>
          </w:p>
        </w:tc>
      </w:tr>
      <w:tr w14:paraId="4570E4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36"/>
        </w:tc>
        <w:tc>
          <w:p w14:paraId="00000037"/>
        </w:tc>
        <w:tc>
          <w:p w14:paraId="00000038">
            <w:r>
              <w:rPr>
                <w:sz w:val="12"/>
                <w:szCs w:val="12"/>
              </w:rPr>
              <w:drawing>
                <wp:inline distT="0" distB="0" distL="0" distR="0">
                  <wp:extent cx="405765" cy="37465"/>
                  <wp:effectExtent l="0" t="0" r="0" b="0"/>
                  <wp:docPr id="114" name="image1.jpg"/>
                  <wp:cNvGraphicFramePr/>
                  <a:graphic xmlns:a="http://schemas.openxmlformats.org/drawingml/2006/main">
                    <a:graphicData uri="http://schemas.openxmlformats.org/drawingml/2006/picture">
                      <pic:pic xmlns:pic="http://schemas.openxmlformats.org/drawingml/2006/picture">
                        <pic:nvPicPr>
                          <pic:cNvPr id="11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39">
      <w:r>
        <w:rPr>
          <w:b/>
          <w:rtl w:val="0"/>
        </w:rPr>
        <w:t>France</w:t>
      </w:r>
      <w:r>
        <w:rPr>
          <w:rtl w:val="0"/>
        </w:rPr>
        <w:t xml:space="preserve"> : </w:t>
      </w:r>
    </w:p>
    <w:p w14:paraId="65D3A125">
      <w:pPr>
        <w:sectPr>
          <w:headerReference r:id="rId7" w:type="first"/>
          <w:footerReference r:id="rId10" w:type="first"/>
          <w:headerReference r:id="rId5" w:type="default"/>
          <w:footerReference r:id="rId8" w:type="default"/>
          <w:headerReference r:id="rId6" w:type="even"/>
          <w:footerReference r:id="rId9" w:type="even"/>
          <w:pgSz w:w="11906" w:h="16838"/>
          <w:pgMar w:top="1418" w:right="851" w:bottom="567" w:left="1134" w:header="0" w:footer="0" w:gutter="0"/>
          <w:pgNumType w:fmt="decimal" w:start="1"/>
          <w:cols w:space="720" w:num="1"/>
        </w:sectPr>
      </w:pPr>
      <w:r>
        <w:rPr>
          <w:rtl w:val="0"/>
        </w:rPr>
        <w:t>33 (0)1 45 42 59 59.</w:t>
      </w:r>
    </w:p>
    <w:p w14:paraId="000000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bl>
      <w:tblPr>
        <w:tblStyle w:val="9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1F76AF5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03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03D">
            <w:pPr>
              <w:jc w:val="center"/>
              <w:rPr>
                <w:b/>
                <w:sz w:val="16"/>
                <w:szCs w:val="16"/>
              </w:rPr>
            </w:pPr>
            <w:r>
              <w:rPr>
                <w:b/>
                <w:sz w:val="16"/>
                <w:szCs w:val="16"/>
                <w:rtl w:val="0"/>
              </w:rPr>
              <w:t>section</w:t>
            </w:r>
          </w:p>
        </w:tc>
        <w:tc>
          <w:tcPr>
            <w:shd w:val="clear" w:color="auto" w:fill="A8D8A7"/>
            <w:vAlign w:val="center"/>
          </w:tcPr>
          <w:p w14:paraId="0000003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2</w:t>
            </w:r>
          </w:p>
        </w:tc>
        <w:tc>
          <w:tcPr>
            <w:shd w:val="clear" w:color="auto" w:fill="A8D8A7"/>
            <w:vAlign w:val="center"/>
          </w:tcPr>
          <w:p w14:paraId="0000003F">
            <w:pPr>
              <w:pStyle w:val="2"/>
              <w:spacing w:line="240" w:lineRule="auto"/>
            </w:pPr>
            <w:r>
              <w:rPr>
                <w:rtl w:val="0"/>
              </w:rPr>
              <w:t>Identification des dangers</w:t>
            </w:r>
          </w:p>
        </w:tc>
        <w:tc>
          <w:tcPr>
            <w:shd w:val="clear" w:color="auto" w:fill="A8D8A7"/>
            <w:vAlign w:val="center"/>
          </w:tcPr>
          <w:p w14:paraId="0000004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041"/>
    <w:tbl>
      <w:tblPr>
        <w:tblStyle w:val="9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CBEFE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42"/>
        </w:tc>
        <w:tc>
          <w:p w14:paraId="00000043">
            <w:pPr>
              <w:pStyle w:val="3"/>
              <w:spacing w:after="0" w:line="240" w:lineRule="auto"/>
              <w:rPr>
                <w:sz w:val="28"/>
                <w:szCs w:val="28"/>
              </w:rPr>
            </w:pPr>
            <w:r>
              <w:rPr>
                <w:rtl w:val="0"/>
              </w:rPr>
              <w:t>2.1</w:t>
            </w:r>
          </w:p>
        </w:tc>
        <w:tc>
          <w:p w14:paraId="00000044">
            <w:pPr>
              <w:pStyle w:val="3"/>
              <w:spacing w:after="0" w:line="240" w:lineRule="auto"/>
            </w:pPr>
            <w:r>
              <w:rPr>
                <w:rtl w:val="0"/>
              </w:rPr>
              <w:t>Classification de la substance ou du mélange</w:t>
            </w:r>
          </w:p>
        </w:tc>
      </w:tr>
      <w:tr w14:paraId="01448FB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45"/>
        </w:tc>
        <w:tc>
          <w:p w14:paraId="00000046"/>
        </w:tc>
        <w:tc>
          <w:p w14:paraId="00000047">
            <w:r>
              <w:rPr>
                <w:sz w:val="12"/>
                <w:szCs w:val="12"/>
              </w:rPr>
              <w:drawing>
                <wp:inline distT="0" distB="0" distL="0" distR="0">
                  <wp:extent cx="405765" cy="37465"/>
                  <wp:effectExtent l="0" t="0" r="0" b="0"/>
                  <wp:docPr id="113" name="image1.jpg"/>
                  <wp:cNvGraphicFramePr/>
                  <a:graphic xmlns:a="http://schemas.openxmlformats.org/drawingml/2006/main">
                    <a:graphicData uri="http://schemas.openxmlformats.org/drawingml/2006/picture">
                      <pic:pic xmlns:pic="http://schemas.openxmlformats.org/drawingml/2006/picture">
                        <pic:nvPicPr>
                          <pic:cNvPr id="11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48">
      <w:pPr>
        <w:pStyle w:val="4"/>
      </w:pPr>
      <w:r>
        <w:rPr>
          <w:b/>
          <w:color w:val="000000"/>
          <w:rtl w:val="0"/>
        </w:rPr>
        <w:t>Identification des dangers</w:t>
      </w:r>
      <w:r>
        <w:rPr>
          <w:rtl w:val="0"/>
        </w:rPr>
        <w:t xml:space="preserve"> : </w:t>
      </w:r>
    </w:p>
    <w:tbl>
      <w:tblPr>
        <w:tblStyle w:val="97"/>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1134"/>
        <w:gridCol w:w="2835"/>
        <w:gridCol w:w="6066"/>
      </w:tblGrid>
      <w:tr w14:paraId="3E3C120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49">
            <w:pPr>
              <w:rPr>
                <w:b/>
              </w:rPr>
            </w:pPr>
            <w:r>
              <w:rPr>
                <w:rtl w:val="0"/>
              </w:rPr>
              <w:t>H317</w:t>
            </w:r>
          </w:p>
        </w:tc>
        <w:tc>
          <w:p w14:paraId="0000004A">
            <w:r>
              <w:rPr>
                <w:rtl w:val="0"/>
              </w:rPr>
              <w:t>Skin Sens. 1B</w:t>
            </w:r>
          </w:p>
        </w:tc>
        <w:tc>
          <w:p w14:paraId="0000004B">
            <w:r>
              <w:rPr>
                <w:rtl w:val="0"/>
              </w:rPr>
              <w:t>Peut provoquer une allergie cutanée.</w:t>
            </w:r>
          </w:p>
        </w:tc>
      </w:tr>
      <w:tr w14:paraId="50110B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4C">
            <w:pPr>
              <w:rPr>
                <w:b/>
              </w:rPr>
            </w:pPr>
            <w:r>
              <w:rPr>
                <w:rtl w:val="0"/>
              </w:rPr>
              <w:t>H412</w:t>
            </w:r>
          </w:p>
        </w:tc>
        <w:tc>
          <w:p w14:paraId="0000004D">
            <w:r>
              <w:rPr>
                <w:rtl w:val="0"/>
              </w:rPr>
              <w:t>Aquatic Chronic 3</w:t>
            </w:r>
          </w:p>
        </w:tc>
        <w:tc>
          <w:p w14:paraId="0000004E">
            <w:r>
              <w:rPr>
                <w:rtl w:val="0"/>
              </w:rPr>
              <w:t>Nocif pour les organismes aquatiques, entraîne des effets néfastes à long terme</w:t>
            </w:r>
          </w:p>
        </w:tc>
      </w:tr>
    </w:tbl>
    <w:p w14:paraId="0000004F"/>
    <w:tbl>
      <w:tblPr>
        <w:tblStyle w:val="9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50DCD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50"/>
        </w:tc>
        <w:tc>
          <w:p w14:paraId="00000051">
            <w:pPr>
              <w:pStyle w:val="3"/>
              <w:spacing w:after="0" w:line="240" w:lineRule="auto"/>
              <w:rPr>
                <w:sz w:val="28"/>
                <w:szCs w:val="28"/>
              </w:rPr>
            </w:pPr>
            <w:r>
              <w:rPr>
                <w:rtl w:val="0"/>
              </w:rPr>
              <w:t>2.2</w:t>
            </w:r>
          </w:p>
        </w:tc>
        <w:tc>
          <w:p w14:paraId="00000052">
            <w:pPr>
              <w:pStyle w:val="3"/>
              <w:spacing w:after="0" w:line="240" w:lineRule="auto"/>
            </w:pPr>
            <w:r>
              <w:rPr>
                <w:rtl w:val="0"/>
              </w:rPr>
              <w:t>Éléments d’étiquetage</w:t>
            </w:r>
          </w:p>
        </w:tc>
      </w:tr>
      <w:tr w14:paraId="6F4F4E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53"/>
        </w:tc>
        <w:tc>
          <w:p w14:paraId="00000054"/>
        </w:tc>
        <w:tc>
          <w:p w14:paraId="00000055">
            <w:r>
              <w:rPr>
                <w:sz w:val="12"/>
                <w:szCs w:val="12"/>
              </w:rPr>
              <w:drawing>
                <wp:inline distT="0" distB="0" distL="0" distR="0">
                  <wp:extent cx="405765" cy="37465"/>
                  <wp:effectExtent l="0" t="0" r="0" b="0"/>
                  <wp:docPr id="116" name="image1.jpg"/>
                  <wp:cNvGraphicFramePr/>
                  <a:graphic xmlns:a="http://schemas.openxmlformats.org/drawingml/2006/main">
                    <a:graphicData uri="http://schemas.openxmlformats.org/drawingml/2006/picture">
                      <pic:pic xmlns:pic="http://schemas.openxmlformats.org/drawingml/2006/picture">
                        <pic:nvPicPr>
                          <pic:cNvPr id="11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56">
      <w:r>
        <w:rPr>
          <w:b/>
          <w:color w:val="A8D8A7"/>
          <w:rtl w:val="0"/>
        </w:rPr>
        <w:t>Étiquetage</w:t>
      </w:r>
    </w:p>
    <w:tbl>
      <w:tblPr>
        <w:tblStyle w:val="99"/>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02"/>
        <w:gridCol w:w="6633"/>
      </w:tblGrid>
      <w:tr w14:paraId="7E654B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57">
            <w:pPr>
              <w:pStyle w:val="4"/>
              <w:spacing w:after="0" w:line="240" w:lineRule="auto"/>
            </w:pPr>
            <w:r>
              <w:rPr>
                <w:rtl w:val="0"/>
              </w:rPr>
              <w:t>Pictogrammes de danger</w:t>
            </w:r>
          </w:p>
        </w:tc>
        <w:tc>
          <w:p w14:paraId="00000058">
            <w:pPr>
              <w:rPr>
                <w:sz w:val="22"/>
                <w:szCs w:val="22"/>
              </w:rPr>
            </w:pPr>
            <w:r>
              <w:rPr>
                <w:sz w:val="22"/>
                <w:szCs w:val="22"/>
              </w:rPr>
              <w:drawing>
                <wp:inline distT="0" distB="0" distL="0" distR="0">
                  <wp:extent cx="283845" cy="283845"/>
                  <wp:effectExtent l="0" t="0" r="0" b="0"/>
                  <wp:docPr id="115" name="image4.png" descr="C:\Dev\workspace\ecojsLIB2\src\resources\images\clp\GHS07.png"/>
                  <wp:cNvGraphicFramePr/>
                  <a:graphic xmlns:a="http://schemas.openxmlformats.org/drawingml/2006/main">
                    <a:graphicData uri="http://schemas.openxmlformats.org/drawingml/2006/picture">
                      <pic:pic xmlns:pic="http://schemas.openxmlformats.org/drawingml/2006/picture">
                        <pic:nvPicPr>
                          <pic:cNvPr id="115" name="image4.png" descr="C:\Dev\workspace\ecojsLIB2\src\resources\images\clp\GHS07.png"/>
                          <pic:cNvPicPr preferRelativeResize="0"/>
                        </pic:nvPicPr>
                        <pic:blipFill>
                          <a:blip r:embed="rId14"/>
                          <a:srcRect/>
                          <a:stretch>
                            <a:fillRect/>
                          </a:stretch>
                        </pic:blipFill>
                        <pic:spPr>
                          <a:xfrm>
                            <a:off x="0" y="0"/>
                            <a:ext cx="284400" cy="284400"/>
                          </a:xfrm>
                          <a:prstGeom prst="rect">
                            <a:avLst/>
                          </a:prstGeom>
                        </pic:spPr>
                      </pic:pic>
                    </a:graphicData>
                  </a:graphic>
                </wp:inline>
              </w:drawing>
            </w:r>
          </w:p>
          <w:p w14:paraId="00000059">
            <w:pPr>
              <w:rPr>
                <w:sz w:val="22"/>
                <w:szCs w:val="22"/>
              </w:rPr>
            </w:pPr>
          </w:p>
        </w:tc>
      </w:tr>
      <w:tr w14:paraId="5F2FFA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5A">
            <w:pPr>
              <w:pStyle w:val="4"/>
              <w:spacing w:after="0" w:line="240" w:lineRule="auto"/>
            </w:pPr>
            <w:r>
              <w:rPr>
                <w:rtl w:val="0"/>
              </w:rPr>
              <w:t>Mention d'avertissement</w:t>
            </w:r>
          </w:p>
        </w:tc>
        <w:tc>
          <w:p w14:paraId="0000005B">
            <w:r>
              <w:rPr>
                <w:rtl w:val="0"/>
              </w:rPr>
              <w:t>Attention</w:t>
            </w:r>
          </w:p>
        </w:tc>
      </w:tr>
    </w:tbl>
    <w:p w14:paraId="0000005C"/>
    <w:p w14:paraId="0000005D">
      <w:pPr>
        <w:pStyle w:val="4"/>
      </w:pPr>
      <w:r>
        <w:rPr>
          <w:b/>
          <w:color w:val="000000"/>
          <w:rtl w:val="0"/>
        </w:rPr>
        <w:t>Mentions de danger</w:t>
      </w:r>
    </w:p>
    <w:tbl>
      <w:tblPr>
        <w:tblStyle w:val="100"/>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1134"/>
        <w:gridCol w:w="8901"/>
      </w:tblGrid>
      <w:tr w14:paraId="772956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5E">
            <w:pPr>
              <w:rPr>
                <w:b/>
              </w:rPr>
            </w:pPr>
            <w:r>
              <w:rPr>
                <w:rtl w:val="0"/>
              </w:rPr>
              <w:t>H317</w:t>
            </w:r>
          </w:p>
        </w:tc>
        <w:tc>
          <w:p w14:paraId="0000005F">
            <w:r>
              <w:rPr>
                <w:rtl w:val="0"/>
              </w:rPr>
              <w:t>Peut provoquer une allergie cutanée.</w:t>
            </w:r>
          </w:p>
        </w:tc>
      </w:tr>
      <w:tr w14:paraId="190AAA8F">
        <w:tc>
          <w:p w14:paraId="00000060">
            <w:pPr>
              <w:rPr>
                <w:b/>
              </w:rPr>
            </w:pPr>
            <w:r>
              <w:rPr>
                <w:rtl w:val="0"/>
              </w:rPr>
              <w:t>H412</w:t>
            </w:r>
          </w:p>
        </w:tc>
        <w:tc>
          <w:p w14:paraId="00000061">
            <w:r>
              <w:rPr>
                <w:rtl w:val="0"/>
              </w:rPr>
              <w:t>Nocif pour les organismes aquatiques, entraîne des effets néfastes à long terme</w:t>
            </w:r>
          </w:p>
        </w:tc>
      </w:tr>
    </w:tbl>
    <w:p w14:paraId="00000062"/>
    <w:p w14:paraId="00000063">
      <w:pPr>
        <w:pStyle w:val="4"/>
      </w:pPr>
      <w:r>
        <w:rPr>
          <w:b/>
          <w:color w:val="000000"/>
          <w:rtl w:val="0"/>
        </w:rPr>
        <w:t>Mises en garde - Prévention</w:t>
      </w:r>
    </w:p>
    <w:tbl>
      <w:tblPr>
        <w:tblStyle w:val="101"/>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1134"/>
        <w:gridCol w:w="8901"/>
      </w:tblGrid>
      <w:tr w14:paraId="491A33C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64">
            <w:pPr>
              <w:rPr>
                <w:b/>
              </w:rPr>
            </w:pPr>
            <w:r>
              <w:rPr>
                <w:rtl w:val="0"/>
              </w:rPr>
              <w:t>P261</w:t>
            </w:r>
          </w:p>
        </w:tc>
        <w:tc>
          <w:p w14:paraId="00000065">
            <w:r>
              <w:rPr>
                <w:rtl w:val="0"/>
              </w:rPr>
              <w:t>Éviter de respirer les poussières/fumées/gaz/brouillards/vapeurs/aérosols.</w:t>
            </w:r>
          </w:p>
        </w:tc>
      </w:tr>
      <w:tr w14:paraId="7B1A62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66">
            <w:pPr>
              <w:rPr>
                <w:b/>
              </w:rPr>
            </w:pPr>
            <w:r>
              <w:rPr>
                <w:rtl w:val="0"/>
              </w:rPr>
              <w:t>P272</w:t>
            </w:r>
          </w:p>
        </w:tc>
        <w:tc>
          <w:p w14:paraId="00000067">
            <w:r>
              <w:rPr>
                <w:rtl w:val="0"/>
              </w:rPr>
              <w:t>Les vêtements de travail contaminés ne devraient pas sortir du lieu de travail.</w:t>
            </w:r>
          </w:p>
        </w:tc>
      </w:tr>
      <w:tr w14:paraId="088B554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68">
            <w:pPr>
              <w:rPr>
                <w:b/>
              </w:rPr>
            </w:pPr>
            <w:r>
              <w:rPr>
                <w:rtl w:val="0"/>
              </w:rPr>
              <w:t>P273</w:t>
            </w:r>
          </w:p>
        </w:tc>
        <w:tc>
          <w:p w14:paraId="00000069">
            <w:r>
              <w:rPr>
                <w:rtl w:val="0"/>
              </w:rPr>
              <w:t>Éviter le rejet dans l'environnement.</w:t>
            </w:r>
          </w:p>
        </w:tc>
      </w:tr>
      <w:tr w14:paraId="695CB0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6A">
            <w:pPr>
              <w:rPr>
                <w:b/>
              </w:rPr>
            </w:pPr>
            <w:r>
              <w:rPr>
                <w:rtl w:val="0"/>
              </w:rPr>
              <w:t>P280</w:t>
            </w:r>
          </w:p>
        </w:tc>
        <w:tc>
          <w:p w14:paraId="0000006B">
            <w:r>
              <w:rPr>
                <w:rtl w:val="0"/>
              </w:rPr>
              <w:t>Porter des gants de protection/des vêtements de protection/un équipement de protection des yeux/du visage.</w:t>
            </w:r>
          </w:p>
        </w:tc>
      </w:tr>
    </w:tbl>
    <w:p w14:paraId="0000006C"/>
    <w:p w14:paraId="0000006D">
      <w:pPr>
        <w:pStyle w:val="4"/>
      </w:pPr>
      <w:r>
        <w:rPr>
          <w:b/>
          <w:color w:val="000000"/>
          <w:rtl w:val="0"/>
        </w:rPr>
        <w:t>Mises en garde - Réponse</w:t>
      </w:r>
    </w:p>
    <w:tbl>
      <w:tblPr>
        <w:tblStyle w:val="102"/>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1134"/>
        <w:gridCol w:w="8901"/>
      </w:tblGrid>
      <w:tr w14:paraId="1A5376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6E">
            <w:pPr>
              <w:rPr>
                <w:b/>
              </w:rPr>
            </w:pPr>
            <w:r>
              <w:rPr>
                <w:rtl w:val="0"/>
              </w:rPr>
              <w:t>P302+P352</w:t>
            </w:r>
          </w:p>
        </w:tc>
        <w:tc>
          <w:p w14:paraId="0000006F">
            <w:r>
              <w:rPr>
                <w:rtl w:val="0"/>
              </w:rPr>
              <w:t>EN CAS DE CONTACT AVEC LA PEAU : Laver abondamment à l’eau.</w:t>
            </w:r>
          </w:p>
        </w:tc>
      </w:tr>
      <w:tr w14:paraId="203673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70">
            <w:pPr>
              <w:rPr>
                <w:b/>
              </w:rPr>
            </w:pPr>
            <w:r>
              <w:rPr>
                <w:rtl w:val="0"/>
              </w:rPr>
              <w:t>P333+P313</w:t>
            </w:r>
          </w:p>
        </w:tc>
        <w:tc>
          <w:p w14:paraId="00000071">
            <w:r>
              <w:rPr>
                <w:rtl w:val="0"/>
              </w:rPr>
              <w:t>En cas d’irritation ou d'éruption cutanée : consulter un médecin.</w:t>
            </w:r>
          </w:p>
        </w:tc>
      </w:tr>
    </w:tbl>
    <w:p w14:paraId="00000072"/>
    <w:p w14:paraId="00000073">
      <w:pPr>
        <w:pStyle w:val="4"/>
      </w:pPr>
      <w:r>
        <w:rPr>
          <w:rtl w:val="0"/>
        </w:rPr>
        <w:t>Contient</w:t>
      </w:r>
    </w:p>
    <w:p w14:paraId="00000074">
      <w:r>
        <w:rPr>
          <w:rtl w:val="0"/>
        </w:rPr>
        <w:t>α-hexylcinnamaldehyde</w:t>
      </w:r>
    </w:p>
    <w:p w14:paraId="00000075"/>
    <w:tbl>
      <w:tblPr>
        <w:tblStyle w:val="10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18041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76"/>
        </w:tc>
        <w:tc>
          <w:p w14:paraId="00000077">
            <w:pPr>
              <w:pStyle w:val="3"/>
              <w:spacing w:after="0" w:line="240" w:lineRule="auto"/>
              <w:rPr>
                <w:sz w:val="28"/>
                <w:szCs w:val="28"/>
              </w:rPr>
            </w:pPr>
            <w:r>
              <w:rPr>
                <w:rtl w:val="0"/>
              </w:rPr>
              <w:t>2.3</w:t>
            </w:r>
          </w:p>
        </w:tc>
        <w:tc>
          <w:p w14:paraId="00000078">
            <w:pPr>
              <w:pStyle w:val="3"/>
              <w:spacing w:after="0" w:line="240" w:lineRule="auto"/>
            </w:pPr>
            <w:r>
              <w:rPr>
                <w:rtl w:val="0"/>
              </w:rPr>
              <w:t>Autres dangers</w:t>
            </w:r>
          </w:p>
        </w:tc>
      </w:tr>
      <w:tr w14:paraId="18E6D9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79"/>
        </w:tc>
        <w:tc>
          <w:p w14:paraId="0000007A"/>
        </w:tc>
        <w:tc>
          <w:p w14:paraId="0000007B">
            <w:r>
              <w:rPr>
                <w:sz w:val="12"/>
                <w:szCs w:val="12"/>
              </w:rPr>
              <w:drawing>
                <wp:inline distT="0" distB="0" distL="0" distR="0">
                  <wp:extent cx="405765" cy="37465"/>
                  <wp:effectExtent l="0" t="0" r="0" b="0"/>
                  <wp:docPr id="118" name="image1.jpg"/>
                  <wp:cNvGraphicFramePr/>
                  <a:graphic xmlns:a="http://schemas.openxmlformats.org/drawingml/2006/main">
                    <a:graphicData uri="http://schemas.openxmlformats.org/drawingml/2006/picture">
                      <pic:pic xmlns:pic="http://schemas.openxmlformats.org/drawingml/2006/picture">
                        <pic:nvPicPr>
                          <pic:cNvPr id="11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7C">
      <w:r>
        <w:rPr>
          <w:rtl w:val="0"/>
        </w:rPr>
        <w:t>Conformément au règlement (UE) 1907/2006, aucune substance n'est évaluée comme PBT ou vPvB.</w:t>
      </w:r>
    </w:p>
    <w:p w14:paraId="0000007D">
      <w:r>
        <w:rPr>
          <w:rtl w:val="0"/>
        </w:rPr>
        <w:t>Selon le règlement (UE) 2017/2100 ou le règlement (UE) 2018/605, aucune substance n'est connue pour avoir des propriétés de perturbation endocrinienne.</w:t>
      </w:r>
    </w:p>
    <w:p w14:paraId="0000007E"/>
    <w:tbl>
      <w:tblPr>
        <w:tblStyle w:val="10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687109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07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080">
            <w:pPr>
              <w:jc w:val="center"/>
              <w:rPr>
                <w:b/>
                <w:sz w:val="16"/>
                <w:szCs w:val="16"/>
              </w:rPr>
            </w:pPr>
            <w:r>
              <w:rPr>
                <w:b/>
                <w:sz w:val="16"/>
                <w:szCs w:val="16"/>
                <w:rtl w:val="0"/>
              </w:rPr>
              <w:t>section</w:t>
            </w:r>
          </w:p>
        </w:tc>
        <w:tc>
          <w:tcPr>
            <w:shd w:val="clear" w:color="auto" w:fill="A8D8A7"/>
            <w:vAlign w:val="center"/>
          </w:tcPr>
          <w:p w14:paraId="0000008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3</w:t>
            </w:r>
          </w:p>
        </w:tc>
        <w:tc>
          <w:tcPr>
            <w:shd w:val="clear" w:color="auto" w:fill="A8D8A7"/>
            <w:vAlign w:val="center"/>
          </w:tcPr>
          <w:p w14:paraId="00000082">
            <w:pPr>
              <w:pStyle w:val="2"/>
              <w:spacing w:line="240" w:lineRule="auto"/>
            </w:pPr>
            <w:r>
              <w:rPr>
                <w:rtl w:val="0"/>
              </w:rPr>
              <w:t>Composition/informations sur les composants</w:t>
            </w:r>
          </w:p>
        </w:tc>
        <w:tc>
          <w:tcPr>
            <w:shd w:val="clear" w:color="auto" w:fill="A8D8A7"/>
            <w:vAlign w:val="center"/>
          </w:tcPr>
          <w:p w14:paraId="0000008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084"/>
    <w:tbl>
      <w:tblPr>
        <w:tblStyle w:val="10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9C32B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085"/>
        </w:tc>
        <w:tc>
          <w:p w14:paraId="00000086">
            <w:pPr>
              <w:pStyle w:val="3"/>
              <w:spacing w:after="0" w:line="240" w:lineRule="auto"/>
              <w:rPr>
                <w:sz w:val="28"/>
                <w:szCs w:val="28"/>
              </w:rPr>
            </w:pPr>
            <w:r>
              <w:rPr>
                <w:rtl w:val="0"/>
              </w:rPr>
              <w:t>3.2</w:t>
            </w:r>
          </w:p>
        </w:tc>
        <w:tc>
          <w:p w14:paraId="00000087">
            <w:pPr>
              <w:pStyle w:val="3"/>
              <w:spacing w:after="0" w:line="240" w:lineRule="auto"/>
            </w:pPr>
            <w:r>
              <w:rPr>
                <w:rtl w:val="0"/>
              </w:rPr>
              <w:t>Mélanges</w:t>
            </w:r>
          </w:p>
        </w:tc>
      </w:tr>
      <w:tr w14:paraId="30A6D5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088"/>
        </w:tc>
        <w:tc>
          <w:p w14:paraId="00000089"/>
        </w:tc>
        <w:tc>
          <w:p w14:paraId="0000008A">
            <w:r>
              <w:rPr>
                <w:sz w:val="12"/>
                <w:szCs w:val="12"/>
              </w:rPr>
              <w:drawing>
                <wp:inline distT="0" distB="0" distL="0" distR="0">
                  <wp:extent cx="405765" cy="37465"/>
                  <wp:effectExtent l="0" t="0" r="0" b="0"/>
                  <wp:docPr id="117" name="image1.jpg"/>
                  <wp:cNvGraphicFramePr/>
                  <a:graphic xmlns:a="http://schemas.openxmlformats.org/drawingml/2006/main">
                    <a:graphicData uri="http://schemas.openxmlformats.org/drawingml/2006/picture">
                      <pic:pic xmlns:pic="http://schemas.openxmlformats.org/drawingml/2006/picture">
                        <pic:nvPicPr>
                          <pic:cNvPr id="11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08B">
      <w:r>
        <w:rPr>
          <w:rtl w:val="0"/>
        </w:rPr>
        <w:t>Conformément à la connaissance du produit, aucun nanomatériau n'a été identifié.</w:t>
      </w:r>
    </w:p>
    <w:p w14:paraId="0000008C">
      <w:r>
        <w:rPr>
          <w:rtl w:val="0"/>
        </w:rPr>
        <w:t xml:space="preserve">Le mélange ne contient pas de substances classées comme substances extrêmement préoccupantes (SVHC) par l'Agence européenne des produits chimiques (ECHA) conformément à l'article 57 du règlement REACH: </w:t>
      </w:r>
      <w:r>
        <w:fldChar w:fldCharType="begin"/>
      </w:r>
      <w:r>
        <w:instrText xml:space="preserve"> HYPERLINK "http://echa.europa.eu/fr/candidate-list-table" \h </w:instrText>
      </w:r>
      <w:r>
        <w:fldChar w:fldCharType="separate"/>
      </w:r>
      <w:r>
        <w:rPr>
          <w:color w:val="1155CC"/>
          <w:u w:val="single"/>
          <w:rtl w:val="0"/>
        </w:rPr>
        <w:t>http://echa.europa.eu/fr/candidate-list-table</w:t>
      </w:r>
      <w:r>
        <w:rPr>
          <w:color w:val="1155CC"/>
          <w:u w:val="single"/>
          <w:rtl w:val="0"/>
        </w:rPr>
        <w:fldChar w:fldCharType="end"/>
      </w:r>
      <w:r>
        <w:rPr>
          <w:rtl w:val="0"/>
        </w:rPr>
        <w:t>.</w:t>
      </w:r>
    </w:p>
    <w:p w14:paraId="0000008D"/>
    <w:tbl>
      <w:tblPr>
        <w:tblStyle w:val="106"/>
        <w:tblW w:w="9922" w:type="dxa"/>
        <w:tblInd w:w="5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134"/>
        <w:gridCol w:w="1701"/>
        <w:gridCol w:w="1701"/>
        <w:gridCol w:w="1701"/>
        <w:gridCol w:w="3685"/>
      </w:tblGrid>
      <w:tr w14:paraId="5CAA8E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67" w:hRule="atLeast"/>
        </w:trPr>
        <w:tc>
          <w:tcPr>
            <w:gridSpan w:val="2"/>
            <w:tcBorders>
              <w:left w:val="single" w:color="A8D8A7" w:sz="24" w:space="0"/>
              <w:right w:val="single" w:color="A8D8A7" w:sz="24" w:space="0"/>
            </w:tcBorders>
            <w:shd w:val="clear" w:color="auto" w:fill="F2F2F2"/>
            <w:vAlign w:val="center"/>
          </w:tcPr>
          <w:p w14:paraId="0000008E">
            <w:pPr>
              <w:jc w:val="center"/>
              <w:rPr>
                <w:b/>
              </w:rPr>
            </w:pPr>
            <w:r>
              <w:rPr>
                <w:b/>
                <w:rtl w:val="0"/>
              </w:rPr>
              <w:t>Substance</w:t>
            </w:r>
          </w:p>
        </w:tc>
        <w:tc>
          <w:tcPr>
            <w:tcBorders>
              <w:left w:val="single" w:color="A8D8A7" w:sz="24" w:space="0"/>
              <w:right w:val="single" w:color="A8D8A7" w:sz="24" w:space="0"/>
            </w:tcBorders>
            <w:shd w:val="clear" w:color="auto" w:fill="F2F2F2"/>
            <w:vAlign w:val="center"/>
          </w:tcPr>
          <w:p w14:paraId="00000090">
            <w:pPr>
              <w:jc w:val="center"/>
              <w:rPr>
                <w:b/>
              </w:rPr>
            </w:pPr>
            <w:r>
              <w:rPr>
                <w:b/>
                <w:rtl w:val="0"/>
              </w:rPr>
              <w:t>Concentration (%)</w:t>
            </w:r>
          </w:p>
        </w:tc>
        <w:tc>
          <w:tcPr>
            <w:tcBorders>
              <w:left w:val="single" w:color="A8D8A7" w:sz="24" w:space="0"/>
              <w:right w:val="single" w:color="A8D8A7" w:sz="24" w:space="0"/>
            </w:tcBorders>
            <w:shd w:val="clear" w:color="auto" w:fill="F2F2F2"/>
            <w:vAlign w:val="center"/>
          </w:tcPr>
          <w:p w14:paraId="00000091">
            <w:pPr>
              <w:jc w:val="center"/>
              <w:rPr>
                <w:b/>
              </w:rPr>
            </w:pPr>
            <w:r>
              <w:rPr>
                <w:b/>
                <w:rtl w:val="0"/>
              </w:rPr>
              <w:t>Limites de concentration spécifiques</w:t>
            </w:r>
          </w:p>
        </w:tc>
        <w:tc>
          <w:tcPr>
            <w:tcBorders>
              <w:left w:val="single" w:color="A8D8A7" w:sz="24" w:space="0"/>
              <w:right w:val="single" w:color="A8D8A7" w:sz="24" w:space="0"/>
            </w:tcBorders>
            <w:shd w:val="clear" w:color="auto" w:fill="F2F2F2"/>
            <w:vAlign w:val="center"/>
          </w:tcPr>
          <w:p w14:paraId="00000092">
            <w:pPr>
              <w:jc w:val="center"/>
              <w:rPr>
                <w:b/>
              </w:rPr>
            </w:pPr>
            <w:r>
              <w:rPr>
                <w:b/>
                <w:rtl w:val="0"/>
              </w:rPr>
              <w:t>Classification</w:t>
            </w:r>
          </w:p>
        </w:tc>
      </w:tr>
      <w:tr w14:paraId="599CE9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093">
            <w:r>
              <w:rPr>
                <w:b/>
                <w:rtl w:val="0"/>
              </w:rPr>
              <w:t>oxydipropanol</w:t>
            </w:r>
            <w:r>
              <w:rPr>
                <w:rtl w:val="0"/>
              </w:rPr>
              <w:t xml:space="preserve"> [1]</w:t>
            </w:r>
          </w:p>
        </w:tc>
      </w:tr>
      <w:tr w14:paraId="74C1E4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098">
            <w:r>
              <w:rPr>
                <w:rtl w:val="0"/>
              </w:rPr>
              <w:t>N°CAS</w:t>
            </w:r>
          </w:p>
        </w:tc>
        <w:tc>
          <w:tcPr>
            <w:tcBorders>
              <w:top w:val="single" w:color="A6A6A6" w:sz="4" w:space="0"/>
              <w:right w:val="single" w:color="A6A6A6" w:sz="4" w:space="0"/>
            </w:tcBorders>
          </w:tcPr>
          <w:p w14:paraId="00000099">
            <w:r>
              <w:rPr>
                <w:rtl w:val="0"/>
              </w:rPr>
              <w:t>25265-71-8</w:t>
            </w:r>
          </w:p>
        </w:tc>
        <w:tc>
          <w:tcPr>
            <w:vMerge w:val="restart"/>
            <w:tcBorders>
              <w:top w:val="single" w:color="A6A6A6" w:sz="4" w:space="0"/>
              <w:left w:val="single" w:color="A6A6A6" w:sz="4" w:space="0"/>
              <w:bottom w:val="single" w:color="A6A6A6" w:sz="4" w:space="0"/>
              <w:right w:val="single" w:color="A6A6A6" w:sz="4" w:space="0"/>
            </w:tcBorders>
          </w:tcPr>
          <w:p w14:paraId="0000009A">
            <w:pPr>
              <w:jc w:val="center"/>
            </w:pPr>
            <w:r>
              <w:rPr>
                <w:rtl w:val="0"/>
              </w:rPr>
              <w:t>C≤ 5.577%</w:t>
            </w:r>
          </w:p>
        </w:tc>
        <w:tc>
          <w:tcPr>
            <w:vMerge w:val="restart"/>
            <w:tcBorders>
              <w:top w:val="single" w:color="A6A6A6" w:sz="4" w:space="0"/>
              <w:left w:val="single" w:color="A6A6A6" w:sz="4" w:space="0"/>
              <w:bottom w:val="single" w:color="A6A6A6" w:sz="4" w:space="0"/>
              <w:right w:val="single" w:color="A6A6A6" w:sz="4" w:space="0"/>
            </w:tcBorders>
          </w:tcPr>
          <w:p w14:paraId="0000009B"/>
        </w:tc>
        <w:tc>
          <w:tcPr>
            <w:vMerge w:val="restart"/>
            <w:tcBorders>
              <w:top w:val="single" w:color="A6A6A6" w:sz="4" w:space="0"/>
              <w:left w:val="single" w:color="A6A6A6" w:sz="4" w:space="0"/>
              <w:bottom w:val="single" w:color="A6A6A6" w:sz="4" w:space="0"/>
              <w:right w:val="single" w:color="A6A6A6" w:sz="4" w:space="0"/>
            </w:tcBorders>
          </w:tcPr>
          <w:p w14:paraId="0000009C">
            <w:pPr>
              <w:ind w:left="662" w:hanging="662"/>
              <w:rPr>
                <w:rFonts w:ascii="Calibri" w:hAnsi="Calibri" w:eastAsia="Calibri" w:cs="Calibri"/>
                <w:color w:val="1E4D74"/>
                <w:sz w:val="20"/>
                <w:szCs w:val="20"/>
                <w:u w:val="none"/>
              </w:rPr>
            </w:pPr>
          </w:p>
        </w:tc>
      </w:tr>
      <w:tr w14:paraId="2ABD40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09D">
            <w:r>
              <w:rPr>
                <w:rtl w:val="0"/>
              </w:rPr>
              <w:t>N°EC</w:t>
            </w:r>
          </w:p>
        </w:tc>
        <w:tc>
          <w:tcPr>
            <w:tcBorders>
              <w:right w:val="single" w:color="A6A6A6" w:sz="4" w:space="0"/>
            </w:tcBorders>
          </w:tcPr>
          <w:p w14:paraId="0000009E">
            <w:r>
              <w:rPr>
                <w:rtl w:val="0"/>
              </w:rPr>
              <w:t>246-770-3</w:t>
            </w:r>
          </w:p>
        </w:tc>
        <w:tc>
          <w:tcPr>
            <w:vMerge w:val="continue"/>
            <w:tcBorders>
              <w:top w:val="single" w:color="A6A6A6" w:sz="4" w:space="0"/>
              <w:left w:val="single" w:color="A6A6A6" w:sz="4" w:space="0"/>
              <w:bottom w:val="single" w:color="A6A6A6" w:sz="4" w:space="0"/>
              <w:right w:val="single" w:color="A6A6A6" w:sz="4" w:space="0"/>
            </w:tcBorders>
          </w:tcPr>
          <w:p w14:paraId="0000009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A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79B860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0A2">
            <w:r>
              <w:rPr>
                <w:rtl w:val="0"/>
              </w:rPr>
              <w:t>N°IDX</w:t>
            </w:r>
          </w:p>
        </w:tc>
        <w:tc>
          <w:tcPr>
            <w:tcBorders>
              <w:bottom w:val="single" w:color="A6A6A6" w:sz="4" w:space="0"/>
              <w:right w:val="single" w:color="A6A6A6" w:sz="4" w:space="0"/>
            </w:tcBorders>
          </w:tcPr>
          <w:p w14:paraId="000000A3"/>
        </w:tc>
        <w:tc>
          <w:tcPr>
            <w:vMerge w:val="continue"/>
            <w:tcBorders>
              <w:top w:val="single" w:color="A6A6A6" w:sz="4" w:space="0"/>
              <w:left w:val="single" w:color="A6A6A6" w:sz="4" w:space="0"/>
              <w:bottom w:val="single" w:color="A6A6A6" w:sz="4" w:space="0"/>
              <w:right w:val="single" w:color="A6A6A6" w:sz="4" w:space="0"/>
            </w:tcBorders>
          </w:tcPr>
          <w:p w14:paraId="000000A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A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A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44FED2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0A7">
            <w:r>
              <w:rPr>
                <w:b/>
                <w:rtl w:val="0"/>
              </w:rPr>
              <w:t>1,3,4,6,7,8-hexahydro-4,6,6,7,8,8-hexamethylindeno[5,6-c]pyran</w:t>
            </w:r>
          </w:p>
        </w:tc>
      </w:tr>
      <w:tr w14:paraId="0C55DB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0AC">
            <w:r>
              <w:rPr>
                <w:rtl w:val="0"/>
              </w:rPr>
              <w:t>N°CAS</w:t>
            </w:r>
          </w:p>
        </w:tc>
        <w:tc>
          <w:tcPr>
            <w:tcBorders>
              <w:top w:val="single" w:color="A6A6A6" w:sz="4" w:space="0"/>
              <w:right w:val="single" w:color="A6A6A6" w:sz="4" w:space="0"/>
            </w:tcBorders>
          </w:tcPr>
          <w:p w14:paraId="000000AD">
            <w:r>
              <w:rPr>
                <w:rtl w:val="0"/>
              </w:rPr>
              <w:t>1222-05-5</w:t>
            </w:r>
          </w:p>
        </w:tc>
        <w:tc>
          <w:tcPr>
            <w:vMerge w:val="restart"/>
            <w:tcBorders>
              <w:top w:val="single" w:color="A6A6A6" w:sz="4" w:space="0"/>
              <w:left w:val="single" w:color="A6A6A6" w:sz="4" w:space="0"/>
              <w:bottom w:val="single" w:color="A6A6A6" w:sz="4" w:space="0"/>
              <w:right w:val="single" w:color="A6A6A6" w:sz="4" w:space="0"/>
            </w:tcBorders>
          </w:tcPr>
          <w:p w14:paraId="000000AE">
            <w:pPr>
              <w:jc w:val="center"/>
            </w:pPr>
            <w:r>
              <w:rPr>
                <w:rtl w:val="0"/>
              </w:rPr>
              <w:t>C≤ 1.24203%</w:t>
            </w:r>
          </w:p>
        </w:tc>
        <w:tc>
          <w:tcPr>
            <w:vMerge w:val="restart"/>
            <w:tcBorders>
              <w:top w:val="single" w:color="A6A6A6" w:sz="4" w:space="0"/>
              <w:left w:val="single" w:color="A6A6A6" w:sz="4" w:space="0"/>
              <w:bottom w:val="single" w:color="A6A6A6" w:sz="4" w:space="0"/>
              <w:right w:val="single" w:color="A6A6A6" w:sz="4" w:space="0"/>
            </w:tcBorders>
          </w:tcPr>
          <w:p w14:paraId="000000AF"/>
        </w:tc>
        <w:tc>
          <w:tcPr>
            <w:vMerge w:val="restart"/>
            <w:tcBorders>
              <w:top w:val="single" w:color="A6A6A6" w:sz="4" w:space="0"/>
              <w:left w:val="single" w:color="A6A6A6" w:sz="4" w:space="0"/>
              <w:bottom w:val="single" w:color="A6A6A6" w:sz="4" w:space="0"/>
              <w:right w:val="single" w:color="A6A6A6" w:sz="4" w:space="0"/>
            </w:tcBorders>
          </w:tcPr>
          <w:p w14:paraId="000000B0">
            <w:pPr>
              <w:ind w:left="662" w:hanging="662"/>
              <w:rPr>
                <w:rFonts w:ascii="Calibri" w:hAnsi="Calibri" w:eastAsia="Calibri" w:cs="Calibri"/>
                <w:color w:val="1E4D74"/>
                <w:sz w:val="20"/>
                <w:szCs w:val="20"/>
                <w:u w:val="none"/>
              </w:rPr>
            </w:pPr>
            <w:r>
              <w:rPr>
                <w:rtl w:val="0"/>
              </w:rPr>
              <w:t>H400     Très toxique pour les organismes aquatiques.</w:t>
            </w:r>
          </w:p>
          <w:p w14:paraId="000000B1">
            <w:pPr>
              <w:ind w:left="662" w:hanging="662"/>
            </w:pPr>
            <w:r>
              <w:rPr>
                <w:rtl w:val="0"/>
              </w:rPr>
              <w:t>H410     Très toxique pour les organismes aquatiques, entraîne des effets néfastes à long terme.</w:t>
            </w:r>
          </w:p>
        </w:tc>
      </w:tr>
      <w:tr w14:paraId="48182D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0B2">
            <w:r>
              <w:rPr>
                <w:rtl w:val="0"/>
              </w:rPr>
              <w:t>N°EC</w:t>
            </w:r>
          </w:p>
        </w:tc>
        <w:tc>
          <w:tcPr>
            <w:tcBorders>
              <w:right w:val="single" w:color="A6A6A6" w:sz="4" w:space="0"/>
            </w:tcBorders>
          </w:tcPr>
          <w:p w14:paraId="000000B3">
            <w:r>
              <w:rPr>
                <w:rtl w:val="0"/>
              </w:rPr>
              <w:t>214-946-9</w:t>
            </w:r>
          </w:p>
        </w:tc>
        <w:tc>
          <w:tcPr>
            <w:vMerge w:val="continue"/>
            <w:tcBorders>
              <w:top w:val="single" w:color="A6A6A6" w:sz="4" w:space="0"/>
              <w:left w:val="single" w:color="A6A6A6" w:sz="4" w:space="0"/>
              <w:bottom w:val="single" w:color="A6A6A6" w:sz="4" w:space="0"/>
              <w:right w:val="single" w:color="A6A6A6" w:sz="4" w:space="0"/>
            </w:tcBorders>
          </w:tcPr>
          <w:p w14:paraId="000000B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B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B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3CCE83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0B7">
            <w:r>
              <w:rPr>
                <w:rtl w:val="0"/>
              </w:rPr>
              <w:t>N°IDX</w:t>
            </w:r>
          </w:p>
        </w:tc>
        <w:tc>
          <w:tcPr>
            <w:tcBorders>
              <w:bottom w:val="single" w:color="A6A6A6" w:sz="4" w:space="0"/>
              <w:right w:val="single" w:color="A6A6A6" w:sz="4" w:space="0"/>
            </w:tcBorders>
          </w:tcPr>
          <w:p w14:paraId="000000B8">
            <w:r>
              <w:rPr>
                <w:rtl w:val="0"/>
              </w:rPr>
              <w:t>603-212-00-7</w:t>
            </w:r>
          </w:p>
        </w:tc>
        <w:tc>
          <w:tcPr>
            <w:vMerge w:val="continue"/>
            <w:tcBorders>
              <w:top w:val="single" w:color="A6A6A6" w:sz="4" w:space="0"/>
              <w:left w:val="single" w:color="A6A6A6" w:sz="4" w:space="0"/>
              <w:bottom w:val="single" w:color="A6A6A6" w:sz="4" w:space="0"/>
              <w:right w:val="single" w:color="A6A6A6" w:sz="4" w:space="0"/>
            </w:tcBorders>
          </w:tcPr>
          <w:p w14:paraId="000000B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B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631B09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0BC">
            <w:r>
              <w:rPr>
                <w:b/>
                <w:rtl w:val="0"/>
              </w:rPr>
              <w:t>α-hexylcinnamaldehyde</w:t>
            </w:r>
          </w:p>
        </w:tc>
      </w:tr>
      <w:tr w14:paraId="2B590CE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0C1">
            <w:r>
              <w:rPr>
                <w:rtl w:val="0"/>
              </w:rPr>
              <w:t>N°CAS</w:t>
            </w:r>
          </w:p>
        </w:tc>
        <w:tc>
          <w:tcPr>
            <w:tcBorders>
              <w:top w:val="single" w:color="A6A6A6" w:sz="4" w:space="0"/>
              <w:right w:val="single" w:color="A6A6A6" w:sz="4" w:space="0"/>
            </w:tcBorders>
          </w:tcPr>
          <w:p w14:paraId="000000C2">
            <w:r>
              <w:rPr>
                <w:rtl w:val="0"/>
              </w:rPr>
              <w:t>101-86-0</w:t>
            </w:r>
          </w:p>
        </w:tc>
        <w:tc>
          <w:tcPr>
            <w:vMerge w:val="restart"/>
            <w:tcBorders>
              <w:top w:val="single" w:color="A6A6A6" w:sz="4" w:space="0"/>
              <w:left w:val="single" w:color="A6A6A6" w:sz="4" w:space="0"/>
              <w:bottom w:val="single" w:color="A6A6A6" w:sz="4" w:space="0"/>
              <w:right w:val="single" w:color="A6A6A6" w:sz="4" w:space="0"/>
            </w:tcBorders>
          </w:tcPr>
          <w:p w14:paraId="000000C3">
            <w:pPr>
              <w:jc w:val="center"/>
            </w:pPr>
            <w:r>
              <w:rPr>
                <w:rtl w:val="0"/>
              </w:rPr>
              <w:t>C≤ 1.1%</w:t>
            </w:r>
          </w:p>
        </w:tc>
        <w:tc>
          <w:tcPr>
            <w:vMerge w:val="restart"/>
            <w:tcBorders>
              <w:top w:val="single" w:color="A6A6A6" w:sz="4" w:space="0"/>
              <w:left w:val="single" w:color="A6A6A6" w:sz="4" w:space="0"/>
              <w:bottom w:val="single" w:color="A6A6A6" w:sz="4" w:space="0"/>
              <w:right w:val="single" w:color="A6A6A6" w:sz="4" w:space="0"/>
            </w:tcBorders>
          </w:tcPr>
          <w:p w14:paraId="000000C4"/>
        </w:tc>
        <w:tc>
          <w:tcPr>
            <w:vMerge w:val="restart"/>
            <w:tcBorders>
              <w:top w:val="single" w:color="A6A6A6" w:sz="4" w:space="0"/>
              <w:left w:val="single" w:color="A6A6A6" w:sz="4" w:space="0"/>
              <w:bottom w:val="single" w:color="A6A6A6" w:sz="4" w:space="0"/>
              <w:right w:val="single" w:color="A6A6A6" w:sz="4" w:space="0"/>
            </w:tcBorders>
          </w:tcPr>
          <w:p w14:paraId="000000C5">
            <w:pPr>
              <w:ind w:left="662" w:hanging="662"/>
              <w:rPr>
                <w:rFonts w:ascii="Calibri" w:hAnsi="Calibri" w:eastAsia="Calibri" w:cs="Calibri"/>
                <w:color w:val="1E4D74"/>
                <w:sz w:val="20"/>
                <w:szCs w:val="20"/>
                <w:u w:val="none"/>
              </w:rPr>
            </w:pPr>
            <w:r>
              <w:rPr>
                <w:rtl w:val="0"/>
              </w:rPr>
              <w:t>H317     Peut provoquer une allergie cutanée.</w:t>
            </w:r>
          </w:p>
          <w:p w14:paraId="000000C6">
            <w:pPr>
              <w:ind w:left="662" w:hanging="662"/>
            </w:pPr>
            <w:r>
              <w:rPr>
                <w:rtl w:val="0"/>
              </w:rPr>
              <w:t>H400     Très toxique pour les organismes aquatiques.</w:t>
            </w:r>
          </w:p>
          <w:p w14:paraId="000000C7">
            <w:pPr>
              <w:ind w:left="662" w:hanging="662"/>
            </w:pPr>
            <w:r>
              <w:rPr>
                <w:rtl w:val="0"/>
              </w:rPr>
              <w:t>H411     Toxique pour les organismes aquatiques, entraîne des effets néfastes à long terme.</w:t>
            </w:r>
          </w:p>
        </w:tc>
      </w:tr>
      <w:tr w14:paraId="7380DA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0C8">
            <w:r>
              <w:rPr>
                <w:rtl w:val="0"/>
              </w:rPr>
              <w:t>N°EC</w:t>
            </w:r>
          </w:p>
        </w:tc>
        <w:tc>
          <w:tcPr>
            <w:tcBorders>
              <w:right w:val="single" w:color="A6A6A6" w:sz="4" w:space="0"/>
            </w:tcBorders>
          </w:tcPr>
          <w:p w14:paraId="000000C9">
            <w:r>
              <w:rPr>
                <w:rtl w:val="0"/>
              </w:rPr>
              <w:t>202-983-3</w:t>
            </w:r>
          </w:p>
        </w:tc>
        <w:tc>
          <w:tcPr>
            <w:vMerge w:val="continue"/>
            <w:tcBorders>
              <w:top w:val="single" w:color="A6A6A6" w:sz="4" w:space="0"/>
              <w:left w:val="single" w:color="A6A6A6" w:sz="4" w:space="0"/>
              <w:bottom w:val="single" w:color="A6A6A6" w:sz="4" w:space="0"/>
              <w:right w:val="single" w:color="A6A6A6" w:sz="4" w:space="0"/>
            </w:tcBorders>
          </w:tcPr>
          <w:p w14:paraId="000000C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C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C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14CE74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0CD">
            <w:r>
              <w:rPr>
                <w:rtl w:val="0"/>
              </w:rPr>
              <w:t>N°IDX</w:t>
            </w:r>
          </w:p>
        </w:tc>
        <w:tc>
          <w:tcPr>
            <w:tcBorders>
              <w:bottom w:val="single" w:color="A6A6A6" w:sz="4" w:space="0"/>
              <w:right w:val="single" w:color="A6A6A6" w:sz="4" w:space="0"/>
            </w:tcBorders>
          </w:tcPr>
          <w:p w14:paraId="000000CE"/>
        </w:tc>
        <w:tc>
          <w:tcPr>
            <w:vMerge w:val="continue"/>
            <w:tcBorders>
              <w:top w:val="single" w:color="A6A6A6" w:sz="4" w:space="0"/>
              <w:left w:val="single" w:color="A6A6A6" w:sz="4" w:space="0"/>
              <w:bottom w:val="single" w:color="A6A6A6" w:sz="4" w:space="0"/>
              <w:right w:val="single" w:color="A6A6A6" w:sz="4" w:space="0"/>
            </w:tcBorders>
          </w:tcPr>
          <w:p w14:paraId="000000C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D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D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3D9AEC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0D2">
            <w:r>
              <w:rPr>
                <w:b/>
                <w:rtl w:val="0"/>
              </w:rPr>
              <w:t>4-tert-butylcyclohexanol</w:t>
            </w:r>
          </w:p>
        </w:tc>
      </w:tr>
      <w:tr w14:paraId="65D1D3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0D7">
            <w:r>
              <w:rPr>
                <w:rtl w:val="0"/>
              </w:rPr>
              <w:t>N°CAS</w:t>
            </w:r>
          </w:p>
        </w:tc>
        <w:tc>
          <w:tcPr>
            <w:tcBorders>
              <w:top w:val="single" w:color="A6A6A6" w:sz="4" w:space="0"/>
              <w:right w:val="single" w:color="A6A6A6" w:sz="4" w:space="0"/>
            </w:tcBorders>
          </w:tcPr>
          <w:p w14:paraId="000000D8">
            <w:r>
              <w:rPr>
                <w:rtl w:val="0"/>
              </w:rPr>
              <w:t>98-52-2</w:t>
            </w:r>
          </w:p>
        </w:tc>
        <w:tc>
          <w:tcPr>
            <w:vMerge w:val="restart"/>
            <w:tcBorders>
              <w:top w:val="single" w:color="A6A6A6" w:sz="4" w:space="0"/>
              <w:left w:val="single" w:color="A6A6A6" w:sz="4" w:space="0"/>
              <w:bottom w:val="single" w:color="A6A6A6" w:sz="4" w:space="0"/>
              <w:right w:val="single" w:color="A6A6A6" w:sz="4" w:space="0"/>
            </w:tcBorders>
          </w:tcPr>
          <w:p w14:paraId="000000D9">
            <w:pPr>
              <w:jc w:val="center"/>
            </w:pPr>
            <w:r>
              <w:rPr>
                <w:rtl w:val="0"/>
              </w:rPr>
              <w:t>C≤ 0.3%</w:t>
            </w:r>
          </w:p>
        </w:tc>
        <w:tc>
          <w:tcPr>
            <w:vMerge w:val="restart"/>
            <w:tcBorders>
              <w:top w:val="single" w:color="A6A6A6" w:sz="4" w:space="0"/>
              <w:left w:val="single" w:color="A6A6A6" w:sz="4" w:space="0"/>
              <w:bottom w:val="single" w:color="A6A6A6" w:sz="4" w:space="0"/>
              <w:right w:val="single" w:color="A6A6A6" w:sz="4" w:space="0"/>
            </w:tcBorders>
          </w:tcPr>
          <w:p w14:paraId="000000DA"/>
        </w:tc>
        <w:tc>
          <w:tcPr>
            <w:vMerge w:val="restart"/>
            <w:tcBorders>
              <w:top w:val="single" w:color="A6A6A6" w:sz="4" w:space="0"/>
              <w:left w:val="single" w:color="A6A6A6" w:sz="4" w:space="0"/>
              <w:bottom w:val="single" w:color="A6A6A6" w:sz="4" w:space="0"/>
              <w:right w:val="single" w:color="A6A6A6" w:sz="4" w:space="0"/>
            </w:tcBorders>
          </w:tcPr>
          <w:p w14:paraId="000000DB">
            <w:pPr>
              <w:ind w:left="662" w:hanging="662"/>
              <w:rPr>
                <w:rFonts w:ascii="Calibri" w:hAnsi="Calibri" w:eastAsia="Calibri" w:cs="Calibri"/>
                <w:color w:val="1E4D74"/>
                <w:sz w:val="20"/>
                <w:szCs w:val="20"/>
                <w:u w:val="none"/>
              </w:rPr>
            </w:pPr>
            <w:r>
              <w:rPr>
                <w:rtl w:val="0"/>
              </w:rPr>
              <w:t>H319     Provoque une sévère irritation des yeux</w:t>
            </w:r>
          </w:p>
        </w:tc>
      </w:tr>
      <w:tr w14:paraId="566CD2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0DC">
            <w:r>
              <w:rPr>
                <w:rtl w:val="0"/>
              </w:rPr>
              <w:t>N°EC</w:t>
            </w:r>
          </w:p>
        </w:tc>
        <w:tc>
          <w:tcPr>
            <w:tcBorders>
              <w:right w:val="single" w:color="A6A6A6" w:sz="4" w:space="0"/>
            </w:tcBorders>
          </w:tcPr>
          <w:p w14:paraId="000000DD">
            <w:r>
              <w:rPr>
                <w:rtl w:val="0"/>
              </w:rPr>
              <w:t>202-676-4</w:t>
            </w:r>
          </w:p>
        </w:tc>
        <w:tc>
          <w:tcPr>
            <w:vMerge w:val="continue"/>
            <w:tcBorders>
              <w:top w:val="single" w:color="A6A6A6" w:sz="4" w:space="0"/>
              <w:left w:val="single" w:color="A6A6A6" w:sz="4" w:space="0"/>
              <w:bottom w:val="single" w:color="A6A6A6" w:sz="4" w:space="0"/>
              <w:right w:val="single" w:color="A6A6A6" w:sz="4" w:space="0"/>
            </w:tcBorders>
          </w:tcPr>
          <w:p w14:paraId="000000D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D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E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362F0F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0E1">
            <w:r>
              <w:rPr>
                <w:rtl w:val="0"/>
              </w:rPr>
              <w:t>N°IDX</w:t>
            </w:r>
          </w:p>
        </w:tc>
        <w:tc>
          <w:tcPr>
            <w:tcBorders>
              <w:bottom w:val="single" w:color="A6A6A6" w:sz="4" w:space="0"/>
              <w:right w:val="single" w:color="A6A6A6" w:sz="4" w:space="0"/>
            </w:tcBorders>
          </w:tcPr>
          <w:p w14:paraId="000000E2"/>
        </w:tc>
        <w:tc>
          <w:tcPr>
            <w:vMerge w:val="continue"/>
            <w:tcBorders>
              <w:top w:val="single" w:color="A6A6A6" w:sz="4" w:space="0"/>
              <w:left w:val="single" w:color="A6A6A6" w:sz="4" w:space="0"/>
              <w:bottom w:val="single" w:color="A6A6A6" w:sz="4" w:space="0"/>
              <w:right w:val="single" w:color="A6A6A6" w:sz="4" w:space="0"/>
            </w:tcBorders>
          </w:tcPr>
          <w:p w14:paraId="000000E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E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E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791055A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0E6">
            <w:r>
              <w:rPr>
                <w:b/>
                <w:rtl w:val="0"/>
              </w:rPr>
              <w:t>2H-Pyran-4-ol, tetrahydro-4-methyl-2-(2-methylpropyl)-</w:t>
            </w:r>
          </w:p>
        </w:tc>
      </w:tr>
      <w:tr w14:paraId="0B916A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0EB">
            <w:r>
              <w:rPr>
                <w:rtl w:val="0"/>
              </w:rPr>
              <w:t>N°CAS</w:t>
            </w:r>
          </w:p>
        </w:tc>
        <w:tc>
          <w:tcPr>
            <w:tcBorders>
              <w:top w:val="single" w:color="A6A6A6" w:sz="4" w:space="0"/>
              <w:right w:val="single" w:color="A6A6A6" w:sz="4" w:space="0"/>
            </w:tcBorders>
          </w:tcPr>
          <w:p w14:paraId="000000EC">
            <w:r>
              <w:rPr>
                <w:rtl w:val="0"/>
              </w:rPr>
              <w:t>63500-71-0</w:t>
            </w:r>
          </w:p>
        </w:tc>
        <w:tc>
          <w:tcPr>
            <w:vMerge w:val="restart"/>
            <w:tcBorders>
              <w:top w:val="single" w:color="A6A6A6" w:sz="4" w:space="0"/>
              <w:left w:val="single" w:color="A6A6A6" w:sz="4" w:space="0"/>
              <w:bottom w:val="single" w:color="A6A6A6" w:sz="4" w:space="0"/>
              <w:right w:val="single" w:color="A6A6A6" w:sz="4" w:space="0"/>
            </w:tcBorders>
          </w:tcPr>
          <w:p w14:paraId="000000ED">
            <w:pPr>
              <w:jc w:val="center"/>
            </w:pPr>
            <w:r>
              <w:rPr>
                <w:rtl w:val="0"/>
              </w:rPr>
              <w:t>C≤ 0.27%</w:t>
            </w:r>
          </w:p>
        </w:tc>
        <w:tc>
          <w:tcPr>
            <w:vMerge w:val="restart"/>
            <w:tcBorders>
              <w:top w:val="single" w:color="A6A6A6" w:sz="4" w:space="0"/>
              <w:left w:val="single" w:color="A6A6A6" w:sz="4" w:space="0"/>
              <w:bottom w:val="single" w:color="A6A6A6" w:sz="4" w:space="0"/>
              <w:right w:val="single" w:color="A6A6A6" w:sz="4" w:space="0"/>
            </w:tcBorders>
          </w:tcPr>
          <w:p w14:paraId="000000EE"/>
        </w:tc>
        <w:tc>
          <w:tcPr>
            <w:vMerge w:val="restart"/>
            <w:tcBorders>
              <w:top w:val="single" w:color="A6A6A6" w:sz="4" w:space="0"/>
              <w:left w:val="single" w:color="A6A6A6" w:sz="4" w:space="0"/>
              <w:bottom w:val="single" w:color="A6A6A6" w:sz="4" w:space="0"/>
              <w:right w:val="single" w:color="A6A6A6" w:sz="4" w:space="0"/>
            </w:tcBorders>
          </w:tcPr>
          <w:p w14:paraId="000000EF">
            <w:pPr>
              <w:ind w:left="662" w:hanging="662"/>
              <w:rPr>
                <w:rFonts w:ascii="Calibri" w:hAnsi="Calibri" w:eastAsia="Calibri" w:cs="Calibri"/>
                <w:color w:val="1E4D74"/>
                <w:sz w:val="20"/>
                <w:szCs w:val="20"/>
                <w:u w:val="none"/>
              </w:rPr>
            </w:pPr>
          </w:p>
        </w:tc>
      </w:tr>
      <w:tr w14:paraId="66ACFD2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0F0">
            <w:r>
              <w:rPr>
                <w:rtl w:val="0"/>
              </w:rPr>
              <w:t>N°EC</w:t>
            </w:r>
          </w:p>
        </w:tc>
        <w:tc>
          <w:tcPr>
            <w:tcBorders>
              <w:right w:val="single" w:color="A6A6A6" w:sz="4" w:space="0"/>
            </w:tcBorders>
          </w:tcPr>
          <w:p w14:paraId="000000F1"/>
        </w:tc>
        <w:tc>
          <w:tcPr>
            <w:vMerge w:val="continue"/>
            <w:tcBorders>
              <w:top w:val="single" w:color="A6A6A6" w:sz="4" w:space="0"/>
              <w:left w:val="single" w:color="A6A6A6" w:sz="4" w:space="0"/>
              <w:bottom w:val="single" w:color="A6A6A6" w:sz="4" w:space="0"/>
              <w:right w:val="single" w:color="A6A6A6" w:sz="4" w:space="0"/>
            </w:tcBorders>
          </w:tcPr>
          <w:p w14:paraId="000000F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F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F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425D46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0F5">
            <w:r>
              <w:rPr>
                <w:rtl w:val="0"/>
              </w:rPr>
              <w:t>N°IDX</w:t>
            </w:r>
          </w:p>
        </w:tc>
        <w:tc>
          <w:tcPr>
            <w:tcBorders>
              <w:bottom w:val="single" w:color="A6A6A6" w:sz="4" w:space="0"/>
              <w:right w:val="single" w:color="A6A6A6" w:sz="4" w:space="0"/>
            </w:tcBorders>
          </w:tcPr>
          <w:p w14:paraId="000000F6"/>
        </w:tc>
        <w:tc>
          <w:tcPr>
            <w:vMerge w:val="continue"/>
            <w:tcBorders>
              <w:top w:val="single" w:color="A6A6A6" w:sz="4" w:space="0"/>
              <w:left w:val="single" w:color="A6A6A6" w:sz="4" w:space="0"/>
              <w:bottom w:val="single" w:color="A6A6A6" w:sz="4" w:space="0"/>
              <w:right w:val="single" w:color="A6A6A6" w:sz="4" w:space="0"/>
            </w:tcBorders>
          </w:tcPr>
          <w:p w14:paraId="000000F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F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0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2FB6201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0FA">
            <w:r>
              <w:rPr>
                <w:b/>
                <w:rtl w:val="0"/>
              </w:rPr>
              <w:t>(R)-p-mentha-1,8-diene</w:t>
            </w:r>
            <w:r>
              <w:rPr>
                <w:rtl w:val="0"/>
              </w:rPr>
              <w:t xml:space="preserve"> [1]</w:t>
            </w:r>
          </w:p>
        </w:tc>
      </w:tr>
      <w:tr w14:paraId="118954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0FF">
            <w:r>
              <w:rPr>
                <w:rtl w:val="0"/>
              </w:rPr>
              <w:t>N°CAS</w:t>
            </w:r>
          </w:p>
        </w:tc>
        <w:tc>
          <w:tcPr>
            <w:tcBorders>
              <w:top w:val="single" w:color="A6A6A6" w:sz="4" w:space="0"/>
              <w:right w:val="single" w:color="A6A6A6" w:sz="4" w:space="0"/>
            </w:tcBorders>
          </w:tcPr>
          <w:p w14:paraId="00000100">
            <w:r>
              <w:rPr>
                <w:rtl w:val="0"/>
              </w:rPr>
              <w:t>5989-27-5</w:t>
            </w:r>
          </w:p>
        </w:tc>
        <w:tc>
          <w:tcPr>
            <w:vMerge w:val="restart"/>
            <w:tcBorders>
              <w:top w:val="single" w:color="A6A6A6" w:sz="4" w:space="0"/>
              <w:left w:val="single" w:color="A6A6A6" w:sz="4" w:space="0"/>
              <w:bottom w:val="single" w:color="A6A6A6" w:sz="4" w:space="0"/>
              <w:right w:val="single" w:color="A6A6A6" w:sz="4" w:space="0"/>
            </w:tcBorders>
          </w:tcPr>
          <w:p w14:paraId="00000101">
            <w:pPr>
              <w:jc w:val="center"/>
            </w:pPr>
            <w:r>
              <w:rPr>
                <w:rtl w:val="0"/>
              </w:rPr>
              <w:t>C≤ 0.1440199999%</w:t>
            </w:r>
          </w:p>
        </w:tc>
        <w:tc>
          <w:tcPr>
            <w:vMerge w:val="restart"/>
            <w:tcBorders>
              <w:top w:val="single" w:color="A6A6A6" w:sz="4" w:space="0"/>
              <w:left w:val="single" w:color="A6A6A6" w:sz="4" w:space="0"/>
              <w:bottom w:val="single" w:color="A6A6A6" w:sz="4" w:space="0"/>
              <w:right w:val="single" w:color="A6A6A6" w:sz="4" w:space="0"/>
            </w:tcBorders>
          </w:tcPr>
          <w:p w14:paraId="00000102"/>
        </w:tc>
        <w:tc>
          <w:tcPr>
            <w:vMerge w:val="restart"/>
            <w:tcBorders>
              <w:top w:val="single" w:color="A6A6A6" w:sz="4" w:space="0"/>
              <w:left w:val="single" w:color="A6A6A6" w:sz="4" w:space="0"/>
              <w:bottom w:val="single" w:color="A6A6A6" w:sz="4" w:space="0"/>
              <w:right w:val="single" w:color="A6A6A6" w:sz="4" w:space="0"/>
            </w:tcBorders>
          </w:tcPr>
          <w:p w14:paraId="00000103">
            <w:pPr>
              <w:ind w:left="662" w:hanging="662"/>
              <w:rPr>
                <w:rFonts w:ascii="Calibri" w:hAnsi="Calibri" w:eastAsia="Calibri" w:cs="Calibri"/>
                <w:color w:val="1E4D74"/>
                <w:sz w:val="20"/>
                <w:szCs w:val="20"/>
                <w:u w:val="none"/>
              </w:rPr>
            </w:pPr>
            <w:r>
              <w:rPr>
                <w:rtl w:val="0"/>
              </w:rPr>
              <w:t>H226     Liquide et vapeurs inflammables.</w:t>
            </w:r>
          </w:p>
          <w:p w14:paraId="00000104">
            <w:pPr>
              <w:ind w:left="662" w:hanging="662"/>
            </w:pPr>
            <w:r>
              <w:rPr>
                <w:rtl w:val="0"/>
              </w:rPr>
              <w:t>H315     Provoque une irritation cutanée.</w:t>
            </w:r>
          </w:p>
          <w:p w14:paraId="00000105">
            <w:pPr>
              <w:ind w:left="662" w:hanging="662"/>
            </w:pPr>
            <w:r>
              <w:rPr>
                <w:rtl w:val="0"/>
              </w:rPr>
              <w:t>H317     Peut provoquer une allergie cutanée.</w:t>
            </w:r>
          </w:p>
          <w:p w14:paraId="00000106">
            <w:pPr>
              <w:ind w:left="662" w:hanging="662"/>
            </w:pPr>
            <w:r>
              <w:rPr>
                <w:rtl w:val="0"/>
              </w:rPr>
              <w:t>H400     Très toxique pour les organismes aquatiques.</w:t>
            </w:r>
          </w:p>
          <w:p w14:paraId="00000107">
            <w:pPr>
              <w:ind w:left="662" w:hanging="662"/>
            </w:pPr>
            <w:r>
              <w:rPr>
                <w:rtl w:val="0"/>
              </w:rPr>
              <w:t>H410     Très toxique pour les organismes aquatiques, entraîne des effets néfastes à long terme.</w:t>
            </w:r>
          </w:p>
        </w:tc>
      </w:tr>
      <w:tr w14:paraId="6F47FD7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108">
            <w:r>
              <w:rPr>
                <w:rtl w:val="0"/>
              </w:rPr>
              <w:t>N°EC</w:t>
            </w:r>
          </w:p>
        </w:tc>
        <w:tc>
          <w:tcPr>
            <w:tcBorders>
              <w:right w:val="single" w:color="A6A6A6" w:sz="4" w:space="0"/>
            </w:tcBorders>
          </w:tcPr>
          <w:p w14:paraId="00000109">
            <w:r>
              <w:rPr>
                <w:rtl w:val="0"/>
              </w:rPr>
              <w:t>227-813-5</w:t>
            </w:r>
          </w:p>
        </w:tc>
        <w:tc>
          <w:tcPr>
            <w:vMerge w:val="continue"/>
            <w:tcBorders>
              <w:top w:val="single" w:color="A6A6A6" w:sz="4" w:space="0"/>
              <w:left w:val="single" w:color="A6A6A6" w:sz="4" w:space="0"/>
              <w:bottom w:val="single" w:color="A6A6A6" w:sz="4" w:space="0"/>
              <w:right w:val="single" w:color="A6A6A6" w:sz="4" w:space="0"/>
            </w:tcBorders>
          </w:tcPr>
          <w:p w14:paraId="0000010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0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22F2878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10D">
            <w:r>
              <w:rPr>
                <w:rtl w:val="0"/>
              </w:rPr>
              <w:t>N°IDX</w:t>
            </w:r>
          </w:p>
        </w:tc>
        <w:tc>
          <w:tcPr>
            <w:tcBorders>
              <w:bottom w:val="single" w:color="A6A6A6" w:sz="4" w:space="0"/>
              <w:right w:val="single" w:color="A6A6A6" w:sz="4" w:space="0"/>
            </w:tcBorders>
          </w:tcPr>
          <w:p w14:paraId="0000010E">
            <w:r>
              <w:rPr>
                <w:rtl w:val="0"/>
              </w:rPr>
              <w:t>601-096-00-2</w:t>
            </w:r>
          </w:p>
        </w:tc>
        <w:tc>
          <w:tcPr>
            <w:vMerge w:val="continue"/>
            <w:tcBorders>
              <w:top w:val="single" w:color="A6A6A6" w:sz="4" w:space="0"/>
              <w:left w:val="single" w:color="A6A6A6" w:sz="4" w:space="0"/>
              <w:bottom w:val="single" w:color="A6A6A6" w:sz="4" w:space="0"/>
              <w:right w:val="single" w:color="A6A6A6" w:sz="4" w:space="0"/>
            </w:tcBorders>
          </w:tcPr>
          <w:p w14:paraId="0000010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1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184852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112">
            <w:r>
              <w:rPr>
                <w:b/>
                <w:rtl w:val="0"/>
              </w:rPr>
              <w:t>3-methyl-4-(2,6,6-trimethyl-2-cyclohexen-1-yl)-3-buten-2-one</w:t>
            </w:r>
          </w:p>
        </w:tc>
      </w:tr>
      <w:tr w14:paraId="03D8312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117">
            <w:r>
              <w:rPr>
                <w:rtl w:val="0"/>
              </w:rPr>
              <w:t>N°CAS</w:t>
            </w:r>
          </w:p>
        </w:tc>
        <w:tc>
          <w:tcPr>
            <w:tcBorders>
              <w:top w:val="single" w:color="A6A6A6" w:sz="4" w:space="0"/>
              <w:right w:val="single" w:color="A6A6A6" w:sz="4" w:space="0"/>
            </w:tcBorders>
          </w:tcPr>
          <w:p w14:paraId="00000118">
            <w:r>
              <w:rPr>
                <w:rtl w:val="0"/>
              </w:rPr>
              <w:t>127-51-5</w:t>
            </w:r>
          </w:p>
        </w:tc>
        <w:tc>
          <w:tcPr>
            <w:vMerge w:val="restart"/>
            <w:tcBorders>
              <w:top w:val="single" w:color="A6A6A6" w:sz="4" w:space="0"/>
              <w:left w:val="single" w:color="A6A6A6" w:sz="4" w:space="0"/>
              <w:bottom w:val="single" w:color="A6A6A6" w:sz="4" w:space="0"/>
              <w:right w:val="single" w:color="A6A6A6" w:sz="4" w:space="0"/>
            </w:tcBorders>
          </w:tcPr>
          <w:p w14:paraId="00000119">
            <w:pPr>
              <w:jc w:val="center"/>
            </w:pPr>
            <w:r>
              <w:rPr>
                <w:rtl w:val="0"/>
              </w:rPr>
              <w:t>C≤ 0.045%</w:t>
            </w:r>
          </w:p>
        </w:tc>
        <w:tc>
          <w:tcPr>
            <w:vMerge w:val="restart"/>
            <w:tcBorders>
              <w:top w:val="single" w:color="A6A6A6" w:sz="4" w:space="0"/>
              <w:left w:val="single" w:color="A6A6A6" w:sz="4" w:space="0"/>
              <w:bottom w:val="single" w:color="A6A6A6" w:sz="4" w:space="0"/>
              <w:right w:val="single" w:color="A6A6A6" w:sz="4" w:space="0"/>
            </w:tcBorders>
          </w:tcPr>
          <w:p w14:paraId="0000011A"/>
        </w:tc>
        <w:tc>
          <w:tcPr>
            <w:vMerge w:val="restart"/>
            <w:tcBorders>
              <w:top w:val="single" w:color="A6A6A6" w:sz="4" w:space="0"/>
              <w:left w:val="single" w:color="A6A6A6" w:sz="4" w:space="0"/>
              <w:bottom w:val="single" w:color="A6A6A6" w:sz="4" w:space="0"/>
              <w:right w:val="single" w:color="A6A6A6" w:sz="4" w:space="0"/>
            </w:tcBorders>
          </w:tcPr>
          <w:p w14:paraId="0000011B">
            <w:pPr>
              <w:ind w:left="662" w:hanging="662"/>
              <w:rPr>
                <w:rFonts w:ascii="Calibri" w:hAnsi="Calibri" w:eastAsia="Calibri" w:cs="Calibri"/>
                <w:color w:val="1E4D74"/>
                <w:sz w:val="20"/>
                <w:szCs w:val="20"/>
                <w:u w:val="none"/>
              </w:rPr>
            </w:pPr>
            <w:r>
              <w:rPr>
                <w:rtl w:val="0"/>
              </w:rPr>
              <w:t>H317     Peut provoquer une allergie cutanée.</w:t>
            </w:r>
          </w:p>
          <w:p w14:paraId="0000011C">
            <w:pPr>
              <w:ind w:left="662" w:hanging="662"/>
            </w:pPr>
            <w:r>
              <w:rPr>
                <w:rtl w:val="0"/>
              </w:rPr>
              <w:t>H411     Toxique pour les organismes aquatiques, entraîne des effets néfastes à long terme.</w:t>
            </w:r>
          </w:p>
        </w:tc>
      </w:tr>
      <w:tr w14:paraId="25A6F5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11D">
            <w:r>
              <w:rPr>
                <w:rtl w:val="0"/>
              </w:rPr>
              <w:t>N°EC</w:t>
            </w:r>
          </w:p>
        </w:tc>
        <w:tc>
          <w:tcPr>
            <w:tcBorders>
              <w:right w:val="single" w:color="A6A6A6" w:sz="4" w:space="0"/>
            </w:tcBorders>
          </w:tcPr>
          <w:p w14:paraId="0000011E">
            <w:r>
              <w:rPr>
                <w:rtl w:val="0"/>
              </w:rPr>
              <w:t>204-846-3</w:t>
            </w:r>
          </w:p>
        </w:tc>
        <w:tc>
          <w:tcPr>
            <w:vMerge w:val="continue"/>
            <w:tcBorders>
              <w:top w:val="single" w:color="A6A6A6" w:sz="4" w:space="0"/>
              <w:left w:val="single" w:color="A6A6A6" w:sz="4" w:space="0"/>
              <w:bottom w:val="single" w:color="A6A6A6" w:sz="4" w:space="0"/>
              <w:right w:val="single" w:color="A6A6A6" w:sz="4" w:space="0"/>
            </w:tcBorders>
          </w:tcPr>
          <w:p w14:paraId="000001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2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143A47B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122">
            <w:r>
              <w:rPr>
                <w:rtl w:val="0"/>
              </w:rPr>
              <w:t>N°IDX</w:t>
            </w:r>
          </w:p>
        </w:tc>
        <w:tc>
          <w:tcPr>
            <w:tcBorders>
              <w:bottom w:val="single" w:color="A6A6A6" w:sz="4" w:space="0"/>
              <w:right w:val="single" w:color="A6A6A6" w:sz="4" w:space="0"/>
            </w:tcBorders>
          </w:tcPr>
          <w:p w14:paraId="00000123"/>
        </w:tc>
        <w:tc>
          <w:tcPr>
            <w:vMerge w:val="continue"/>
            <w:tcBorders>
              <w:top w:val="single" w:color="A6A6A6" w:sz="4" w:space="0"/>
              <w:left w:val="single" w:color="A6A6A6" w:sz="4" w:space="0"/>
              <w:bottom w:val="single" w:color="A6A6A6" w:sz="4" w:space="0"/>
              <w:right w:val="single" w:color="A6A6A6" w:sz="4" w:space="0"/>
            </w:tcBorders>
          </w:tcPr>
          <w:p w14:paraId="0000012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2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2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5903E2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127">
            <w:r>
              <w:rPr>
                <w:b/>
                <w:rtl w:val="0"/>
              </w:rPr>
              <w:t>[3R-(3α,3aβ,7β,8aα)]-2,3,4,7,8,8a-hexahydro-3,6,8,8-tetramethyl-1H-3a,7-methanoazulene</w:t>
            </w:r>
          </w:p>
        </w:tc>
      </w:tr>
      <w:tr w14:paraId="6F9FA8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12C">
            <w:r>
              <w:rPr>
                <w:rtl w:val="0"/>
              </w:rPr>
              <w:t>N°CAS</w:t>
            </w:r>
          </w:p>
        </w:tc>
        <w:tc>
          <w:tcPr>
            <w:tcBorders>
              <w:top w:val="single" w:color="A6A6A6" w:sz="4" w:space="0"/>
              <w:right w:val="single" w:color="A6A6A6" w:sz="4" w:space="0"/>
            </w:tcBorders>
          </w:tcPr>
          <w:p w14:paraId="0000012D">
            <w:r>
              <w:rPr>
                <w:rtl w:val="0"/>
              </w:rPr>
              <w:t>469-61-4</w:t>
            </w:r>
          </w:p>
        </w:tc>
        <w:tc>
          <w:tcPr>
            <w:vMerge w:val="restart"/>
            <w:tcBorders>
              <w:top w:val="single" w:color="A6A6A6" w:sz="4" w:space="0"/>
              <w:left w:val="single" w:color="A6A6A6" w:sz="4" w:space="0"/>
              <w:bottom w:val="single" w:color="A6A6A6" w:sz="4" w:space="0"/>
              <w:right w:val="single" w:color="A6A6A6" w:sz="4" w:space="0"/>
            </w:tcBorders>
          </w:tcPr>
          <w:p w14:paraId="0000012E">
            <w:pPr>
              <w:jc w:val="center"/>
            </w:pPr>
            <w:r>
              <w:rPr>
                <w:rtl w:val="0"/>
              </w:rPr>
              <w:t>C≤ 0.0261%</w:t>
            </w:r>
          </w:p>
        </w:tc>
        <w:tc>
          <w:tcPr>
            <w:vMerge w:val="restart"/>
            <w:tcBorders>
              <w:top w:val="single" w:color="A6A6A6" w:sz="4" w:space="0"/>
              <w:left w:val="single" w:color="A6A6A6" w:sz="4" w:space="0"/>
              <w:bottom w:val="single" w:color="A6A6A6" w:sz="4" w:space="0"/>
              <w:right w:val="single" w:color="A6A6A6" w:sz="4" w:space="0"/>
            </w:tcBorders>
          </w:tcPr>
          <w:p w14:paraId="0000012F"/>
        </w:tc>
        <w:tc>
          <w:tcPr>
            <w:vMerge w:val="restart"/>
            <w:tcBorders>
              <w:top w:val="single" w:color="A6A6A6" w:sz="4" w:space="0"/>
              <w:left w:val="single" w:color="A6A6A6" w:sz="4" w:space="0"/>
              <w:bottom w:val="single" w:color="A6A6A6" w:sz="4" w:space="0"/>
              <w:right w:val="single" w:color="A6A6A6" w:sz="4" w:space="0"/>
            </w:tcBorders>
          </w:tcPr>
          <w:p w14:paraId="00000130">
            <w:pPr>
              <w:ind w:left="662" w:hanging="662"/>
              <w:rPr>
                <w:rFonts w:ascii="Calibri" w:hAnsi="Calibri" w:eastAsia="Calibri" w:cs="Calibri"/>
                <w:color w:val="1E4D74"/>
                <w:sz w:val="20"/>
                <w:szCs w:val="20"/>
                <w:u w:val="none"/>
              </w:rPr>
            </w:pPr>
            <w:r>
              <w:rPr>
                <w:rtl w:val="0"/>
              </w:rPr>
              <w:t>H304     Peut être mortel en cas d'ingestion et de pénétration dans les voies respiratoires.</w:t>
            </w:r>
          </w:p>
          <w:p w14:paraId="00000131">
            <w:pPr>
              <w:ind w:left="662" w:hanging="662"/>
            </w:pPr>
            <w:r>
              <w:rPr>
                <w:rtl w:val="0"/>
              </w:rPr>
              <w:t>H400     Très toxique pour les organismes aquatiques.</w:t>
            </w:r>
          </w:p>
          <w:p w14:paraId="00000132">
            <w:pPr>
              <w:ind w:left="662" w:hanging="662"/>
            </w:pPr>
            <w:r>
              <w:rPr>
                <w:rtl w:val="0"/>
              </w:rPr>
              <w:t>H410     Très toxique pour les organismes aquatiques, entraîne des effets néfastes à long terme.</w:t>
            </w:r>
          </w:p>
        </w:tc>
      </w:tr>
      <w:tr w14:paraId="036F56C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133">
            <w:r>
              <w:rPr>
                <w:rtl w:val="0"/>
              </w:rPr>
              <w:t>N°EC</w:t>
            </w:r>
          </w:p>
        </w:tc>
        <w:tc>
          <w:tcPr>
            <w:tcBorders>
              <w:right w:val="single" w:color="A6A6A6" w:sz="4" w:space="0"/>
            </w:tcBorders>
          </w:tcPr>
          <w:p w14:paraId="00000134">
            <w:r>
              <w:rPr>
                <w:rtl w:val="0"/>
              </w:rPr>
              <w:t>207-418-4</w:t>
            </w:r>
          </w:p>
        </w:tc>
        <w:tc>
          <w:tcPr>
            <w:vMerge w:val="continue"/>
            <w:tcBorders>
              <w:top w:val="single" w:color="A6A6A6" w:sz="4" w:space="0"/>
              <w:left w:val="single" w:color="A6A6A6" w:sz="4" w:space="0"/>
              <w:bottom w:val="single" w:color="A6A6A6" w:sz="4" w:space="0"/>
              <w:right w:val="single" w:color="A6A6A6" w:sz="4" w:space="0"/>
            </w:tcBorders>
          </w:tcPr>
          <w:p w14:paraId="0000013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3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3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0AF7BD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138">
            <w:r>
              <w:rPr>
                <w:rtl w:val="0"/>
              </w:rPr>
              <w:t>N°IDX</w:t>
            </w:r>
          </w:p>
        </w:tc>
        <w:tc>
          <w:tcPr>
            <w:tcBorders>
              <w:bottom w:val="single" w:color="A6A6A6" w:sz="4" w:space="0"/>
              <w:right w:val="single" w:color="A6A6A6" w:sz="4" w:space="0"/>
            </w:tcBorders>
          </w:tcPr>
          <w:p w14:paraId="00000139"/>
        </w:tc>
        <w:tc>
          <w:tcPr>
            <w:vMerge w:val="continue"/>
            <w:tcBorders>
              <w:top w:val="single" w:color="A6A6A6" w:sz="4" w:space="0"/>
              <w:left w:val="single" w:color="A6A6A6" w:sz="4" w:space="0"/>
              <w:bottom w:val="single" w:color="A6A6A6" w:sz="4" w:space="0"/>
              <w:right w:val="single" w:color="A6A6A6" w:sz="4" w:space="0"/>
            </w:tcBorders>
          </w:tcPr>
          <w:p w14:paraId="000001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3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3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1C025E5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13D">
            <w:r>
              <w:rPr>
                <w:b/>
                <w:rtl w:val="0"/>
              </w:rPr>
              <w:t>1-(2,6,6-trimethyl-2-cyclohexen-1-yl)pent-1-en-3-one</w:t>
            </w:r>
          </w:p>
        </w:tc>
      </w:tr>
      <w:tr w14:paraId="54C9BF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142">
            <w:r>
              <w:rPr>
                <w:rtl w:val="0"/>
              </w:rPr>
              <w:t>N°CAS</w:t>
            </w:r>
          </w:p>
        </w:tc>
        <w:tc>
          <w:tcPr>
            <w:tcBorders>
              <w:top w:val="single" w:color="A6A6A6" w:sz="4" w:space="0"/>
              <w:right w:val="single" w:color="A6A6A6" w:sz="4" w:space="0"/>
            </w:tcBorders>
          </w:tcPr>
          <w:p w14:paraId="00000143">
            <w:r>
              <w:rPr>
                <w:rtl w:val="0"/>
              </w:rPr>
              <w:t>7779-30-8</w:t>
            </w:r>
          </w:p>
        </w:tc>
        <w:tc>
          <w:tcPr>
            <w:vMerge w:val="restart"/>
            <w:tcBorders>
              <w:top w:val="single" w:color="A6A6A6" w:sz="4" w:space="0"/>
              <w:left w:val="single" w:color="A6A6A6" w:sz="4" w:space="0"/>
              <w:bottom w:val="single" w:color="A6A6A6" w:sz="4" w:space="0"/>
              <w:right w:val="single" w:color="A6A6A6" w:sz="4" w:space="0"/>
            </w:tcBorders>
          </w:tcPr>
          <w:p w14:paraId="00000144">
            <w:pPr>
              <w:jc w:val="center"/>
            </w:pPr>
            <w:r>
              <w:rPr>
                <w:rtl w:val="0"/>
              </w:rPr>
              <w:t>C≤ 0.018%</w:t>
            </w:r>
          </w:p>
        </w:tc>
        <w:tc>
          <w:tcPr>
            <w:vMerge w:val="restart"/>
            <w:tcBorders>
              <w:top w:val="single" w:color="A6A6A6" w:sz="4" w:space="0"/>
              <w:left w:val="single" w:color="A6A6A6" w:sz="4" w:space="0"/>
              <w:bottom w:val="single" w:color="A6A6A6" w:sz="4" w:space="0"/>
              <w:right w:val="single" w:color="A6A6A6" w:sz="4" w:space="0"/>
            </w:tcBorders>
          </w:tcPr>
          <w:p w14:paraId="00000145"/>
        </w:tc>
        <w:tc>
          <w:tcPr>
            <w:vMerge w:val="restart"/>
            <w:tcBorders>
              <w:top w:val="single" w:color="A6A6A6" w:sz="4" w:space="0"/>
              <w:left w:val="single" w:color="A6A6A6" w:sz="4" w:space="0"/>
              <w:bottom w:val="single" w:color="A6A6A6" w:sz="4" w:space="0"/>
              <w:right w:val="single" w:color="A6A6A6" w:sz="4" w:space="0"/>
            </w:tcBorders>
          </w:tcPr>
          <w:p w14:paraId="00000146">
            <w:pPr>
              <w:ind w:left="662" w:hanging="662"/>
              <w:rPr>
                <w:rFonts w:ascii="Calibri" w:hAnsi="Calibri" w:eastAsia="Calibri" w:cs="Calibri"/>
                <w:color w:val="1E4D74"/>
                <w:sz w:val="20"/>
                <w:szCs w:val="20"/>
                <w:u w:val="none"/>
              </w:rPr>
            </w:pPr>
            <w:r>
              <w:rPr>
                <w:rtl w:val="0"/>
              </w:rPr>
              <w:t>H317     Peut provoquer une allergie cutanée.</w:t>
            </w:r>
          </w:p>
          <w:p w14:paraId="00000147">
            <w:pPr>
              <w:ind w:left="662" w:hanging="662"/>
            </w:pPr>
            <w:r>
              <w:rPr>
                <w:rtl w:val="0"/>
              </w:rPr>
              <w:t>H411     Toxique pour les organismes aquatiques, entraîne des effets néfastes à long terme.</w:t>
            </w:r>
          </w:p>
        </w:tc>
      </w:tr>
      <w:tr w14:paraId="4AF11B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148">
            <w:r>
              <w:rPr>
                <w:rtl w:val="0"/>
              </w:rPr>
              <w:t>N°EC</w:t>
            </w:r>
          </w:p>
        </w:tc>
        <w:tc>
          <w:tcPr>
            <w:tcBorders>
              <w:right w:val="single" w:color="A6A6A6" w:sz="4" w:space="0"/>
            </w:tcBorders>
          </w:tcPr>
          <w:p w14:paraId="00000149">
            <w:r>
              <w:rPr>
                <w:rtl w:val="0"/>
              </w:rPr>
              <w:t>231-926-5</w:t>
            </w:r>
          </w:p>
        </w:tc>
        <w:tc>
          <w:tcPr>
            <w:vMerge w:val="continue"/>
            <w:tcBorders>
              <w:top w:val="single" w:color="A6A6A6" w:sz="4" w:space="0"/>
              <w:left w:val="single" w:color="A6A6A6" w:sz="4" w:space="0"/>
              <w:bottom w:val="single" w:color="A6A6A6" w:sz="4" w:space="0"/>
              <w:right w:val="single" w:color="A6A6A6" w:sz="4" w:space="0"/>
            </w:tcBorders>
          </w:tcPr>
          <w:p w14:paraId="0000014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4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4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30CDC7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14D">
            <w:r>
              <w:rPr>
                <w:rtl w:val="0"/>
              </w:rPr>
              <w:t>N°IDX</w:t>
            </w:r>
          </w:p>
        </w:tc>
        <w:tc>
          <w:tcPr>
            <w:tcBorders>
              <w:bottom w:val="single" w:color="A6A6A6" w:sz="4" w:space="0"/>
              <w:right w:val="single" w:color="A6A6A6" w:sz="4" w:space="0"/>
            </w:tcBorders>
          </w:tcPr>
          <w:p w14:paraId="0000014E"/>
        </w:tc>
        <w:tc>
          <w:tcPr>
            <w:vMerge w:val="continue"/>
            <w:tcBorders>
              <w:top w:val="single" w:color="A6A6A6" w:sz="4" w:space="0"/>
              <w:left w:val="single" w:color="A6A6A6" w:sz="4" w:space="0"/>
              <w:bottom w:val="single" w:color="A6A6A6" w:sz="4" w:space="0"/>
              <w:right w:val="single" w:color="A6A6A6" w:sz="4" w:space="0"/>
            </w:tcBorders>
          </w:tcPr>
          <w:p w14:paraId="0000014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3D0A56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152">
            <w:r>
              <w:rPr>
                <w:b/>
                <w:rtl w:val="0"/>
              </w:rPr>
              <w:t>2-tert-butylhydroquinone</w:t>
            </w:r>
          </w:p>
        </w:tc>
      </w:tr>
      <w:tr w14:paraId="6E438B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157">
            <w:r>
              <w:rPr>
                <w:rtl w:val="0"/>
              </w:rPr>
              <w:t>N°CAS</w:t>
            </w:r>
          </w:p>
        </w:tc>
        <w:tc>
          <w:tcPr>
            <w:tcBorders>
              <w:top w:val="single" w:color="A6A6A6" w:sz="4" w:space="0"/>
              <w:right w:val="single" w:color="A6A6A6" w:sz="4" w:space="0"/>
            </w:tcBorders>
          </w:tcPr>
          <w:p w14:paraId="00000158">
            <w:r>
              <w:rPr>
                <w:rtl w:val="0"/>
              </w:rPr>
              <w:t>1948-33-0</w:t>
            </w:r>
          </w:p>
        </w:tc>
        <w:tc>
          <w:tcPr>
            <w:vMerge w:val="restart"/>
            <w:tcBorders>
              <w:top w:val="single" w:color="A6A6A6" w:sz="4" w:space="0"/>
              <w:left w:val="single" w:color="A6A6A6" w:sz="4" w:space="0"/>
              <w:bottom w:val="single" w:color="A6A6A6" w:sz="4" w:space="0"/>
              <w:right w:val="single" w:color="A6A6A6" w:sz="4" w:space="0"/>
            </w:tcBorders>
          </w:tcPr>
          <w:p w14:paraId="00000159">
            <w:pPr>
              <w:jc w:val="center"/>
            </w:pPr>
            <w:r>
              <w:rPr>
                <w:rtl w:val="0"/>
              </w:rPr>
              <w:t>C≤ 0.011%</w:t>
            </w:r>
          </w:p>
        </w:tc>
        <w:tc>
          <w:tcPr>
            <w:vMerge w:val="restart"/>
            <w:tcBorders>
              <w:top w:val="single" w:color="A6A6A6" w:sz="4" w:space="0"/>
              <w:left w:val="single" w:color="A6A6A6" w:sz="4" w:space="0"/>
              <w:bottom w:val="single" w:color="A6A6A6" w:sz="4" w:space="0"/>
              <w:right w:val="single" w:color="A6A6A6" w:sz="4" w:space="0"/>
            </w:tcBorders>
          </w:tcPr>
          <w:p w14:paraId="0000015A"/>
        </w:tc>
        <w:tc>
          <w:tcPr>
            <w:vMerge w:val="restart"/>
            <w:tcBorders>
              <w:top w:val="single" w:color="A6A6A6" w:sz="4" w:space="0"/>
              <w:left w:val="single" w:color="A6A6A6" w:sz="4" w:space="0"/>
              <w:bottom w:val="single" w:color="A6A6A6" w:sz="4" w:space="0"/>
              <w:right w:val="single" w:color="A6A6A6" w:sz="4" w:space="0"/>
            </w:tcBorders>
          </w:tcPr>
          <w:p w14:paraId="0000015B">
            <w:pPr>
              <w:ind w:left="662" w:hanging="662"/>
              <w:rPr>
                <w:rFonts w:ascii="Calibri" w:hAnsi="Calibri" w:eastAsia="Calibri" w:cs="Calibri"/>
                <w:color w:val="1E4D74"/>
                <w:sz w:val="20"/>
                <w:szCs w:val="20"/>
                <w:u w:val="none"/>
              </w:rPr>
            </w:pPr>
            <w:r>
              <w:rPr>
                <w:rtl w:val="0"/>
              </w:rPr>
              <w:t>H302     Nocif en cas d'ingestion</w:t>
            </w:r>
          </w:p>
          <w:p w14:paraId="0000015C">
            <w:pPr>
              <w:ind w:left="662" w:hanging="662"/>
            </w:pPr>
            <w:r>
              <w:rPr>
                <w:rtl w:val="0"/>
              </w:rPr>
              <w:t>H312     Nocif par contact avec la peau.</w:t>
            </w:r>
          </w:p>
          <w:p w14:paraId="0000015D">
            <w:pPr>
              <w:ind w:left="662" w:hanging="662"/>
            </w:pPr>
            <w:r>
              <w:rPr>
                <w:rtl w:val="0"/>
              </w:rPr>
              <w:t>H315     Provoque une irritation cutanée.</w:t>
            </w:r>
          </w:p>
          <w:p w14:paraId="0000015E">
            <w:pPr>
              <w:ind w:left="662" w:hanging="662"/>
            </w:pPr>
            <w:r>
              <w:rPr>
                <w:rtl w:val="0"/>
              </w:rPr>
              <w:t>H317     Peut provoquer une allergie cutanée.</w:t>
            </w:r>
          </w:p>
          <w:p w14:paraId="0000015F">
            <w:pPr>
              <w:ind w:left="662" w:hanging="662"/>
            </w:pPr>
            <w:r>
              <w:rPr>
                <w:rtl w:val="0"/>
              </w:rPr>
              <w:t>H319     Provoque une sévère irritation des yeux</w:t>
            </w:r>
          </w:p>
          <w:p w14:paraId="00000160">
            <w:pPr>
              <w:ind w:left="662" w:hanging="662"/>
            </w:pPr>
            <w:r>
              <w:rPr>
                <w:rtl w:val="0"/>
              </w:rPr>
              <w:t>H400     Très toxique pour les organismes aquatiques.</w:t>
            </w:r>
          </w:p>
          <w:p w14:paraId="00000161">
            <w:pPr>
              <w:ind w:left="662" w:hanging="662"/>
            </w:pPr>
            <w:r>
              <w:rPr>
                <w:rtl w:val="0"/>
              </w:rPr>
              <w:t>H410     Très toxique pour les organismes aquatiques, entraîne des effets néfastes à long terme.</w:t>
            </w:r>
          </w:p>
        </w:tc>
      </w:tr>
      <w:tr w14:paraId="0BDA391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162">
            <w:r>
              <w:rPr>
                <w:rtl w:val="0"/>
              </w:rPr>
              <w:t>N°EC</w:t>
            </w:r>
          </w:p>
        </w:tc>
        <w:tc>
          <w:tcPr>
            <w:tcBorders>
              <w:right w:val="single" w:color="A6A6A6" w:sz="4" w:space="0"/>
            </w:tcBorders>
          </w:tcPr>
          <w:p w14:paraId="00000163">
            <w:r>
              <w:rPr>
                <w:rtl w:val="0"/>
              </w:rPr>
              <w:t>217-752-2</w:t>
            </w:r>
          </w:p>
        </w:tc>
        <w:tc>
          <w:tcPr>
            <w:vMerge w:val="continue"/>
            <w:tcBorders>
              <w:top w:val="single" w:color="A6A6A6" w:sz="4" w:space="0"/>
              <w:left w:val="single" w:color="A6A6A6" w:sz="4" w:space="0"/>
              <w:bottom w:val="single" w:color="A6A6A6" w:sz="4" w:space="0"/>
              <w:right w:val="single" w:color="A6A6A6" w:sz="4" w:space="0"/>
            </w:tcBorders>
          </w:tcPr>
          <w:p w14:paraId="0000016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2CBB5C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167">
            <w:r>
              <w:rPr>
                <w:rtl w:val="0"/>
              </w:rPr>
              <w:t>N°IDX</w:t>
            </w:r>
          </w:p>
        </w:tc>
        <w:tc>
          <w:tcPr>
            <w:tcBorders>
              <w:bottom w:val="single" w:color="A6A6A6" w:sz="4" w:space="0"/>
              <w:right w:val="single" w:color="A6A6A6" w:sz="4" w:space="0"/>
            </w:tcBorders>
          </w:tcPr>
          <w:p w14:paraId="00000168"/>
        </w:tc>
        <w:tc>
          <w:tcPr>
            <w:vMerge w:val="continue"/>
            <w:tcBorders>
              <w:top w:val="single" w:color="A6A6A6" w:sz="4" w:space="0"/>
              <w:left w:val="single" w:color="A6A6A6" w:sz="4" w:space="0"/>
              <w:bottom w:val="single" w:color="A6A6A6" w:sz="4" w:space="0"/>
              <w:right w:val="single" w:color="A6A6A6" w:sz="4" w:space="0"/>
            </w:tcBorders>
          </w:tcPr>
          <w:p w14:paraId="000001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6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587B50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gridSpan w:val="5"/>
            <w:tcBorders>
              <w:left w:val="single" w:color="A6A6A6" w:sz="4" w:space="0"/>
              <w:bottom w:val="single" w:color="A6A6A6" w:sz="4" w:space="0"/>
              <w:right w:val="single" w:color="A6A6A6" w:sz="4" w:space="0"/>
            </w:tcBorders>
          </w:tcPr>
          <w:p w14:paraId="0000016C">
            <w:r>
              <w:rPr>
                <w:b/>
                <w:rtl w:val="0"/>
              </w:rPr>
              <w:t>linalyl acetate</w:t>
            </w:r>
          </w:p>
        </w:tc>
      </w:tr>
      <w:tr w14:paraId="1E0D33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top w:val="single" w:color="A6A6A6" w:sz="4" w:space="0"/>
              <w:left w:val="single" w:color="A6A6A6" w:sz="4" w:space="0"/>
            </w:tcBorders>
          </w:tcPr>
          <w:p w14:paraId="00000171">
            <w:r>
              <w:rPr>
                <w:rtl w:val="0"/>
              </w:rPr>
              <w:t>N°CAS</w:t>
            </w:r>
          </w:p>
        </w:tc>
        <w:tc>
          <w:tcPr>
            <w:tcBorders>
              <w:top w:val="single" w:color="A6A6A6" w:sz="4" w:space="0"/>
              <w:right w:val="single" w:color="A6A6A6" w:sz="4" w:space="0"/>
            </w:tcBorders>
          </w:tcPr>
          <w:p w14:paraId="00000172">
            <w:r>
              <w:rPr>
                <w:rtl w:val="0"/>
              </w:rPr>
              <w:t>115-95-7</w:t>
            </w:r>
          </w:p>
        </w:tc>
        <w:tc>
          <w:tcPr>
            <w:vMerge w:val="restart"/>
            <w:tcBorders>
              <w:top w:val="single" w:color="A6A6A6" w:sz="4" w:space="0"/>
              <w:left w:val="single" w:color="A6A6A6" w:sz="4" w:space="0"/>
              <w:bottom w:val="single" w:color="A6A6A6" w:sz="4" w:space="0"/>
              <w:right w:val="single" w:color="A6A6A6" w:sz="4" w:space="0"/>
            </w:tcBorders>
          </w:tcPr>
          <w:p w14:paraId="00000173">
            <w:pPr>
              <w:jc w:val="center"/>
            </w:pPr>
            <w:r>
              <w:rPr>
                <w:rtl w:val="0"/>
              </w:rPr>
              <w:t>C≤ 0.01%</w:t>
            </w:r>
          </w:p>
        </w:tc>
        <w:tc>
          <w:tcPr>
            <w:vMerge w:val="restart"/>
            <w:tcBorders>
              <w:top w:val="single" w:color="A6A6A6" w:sz="4" w:space="0"/>
              <w:left w:val="single" w:color="A6A6A6" w:sz="4" w:space="0"/>
              <w:bottom w:val="single" w:color="A6A6A6" w:sz="4" w:space="0"/>
              <w:right w:val="single" w:color="A6A6A6" w:sz="4" w:space="0"/>
            </w:tcBorders>
          </w:tcPr>
          <w:p w14:paraId="00000174"/>
        </w:tc>
        <w:tc>
          <w:tcPr>
            <w:vMerge w:val="restart"/>
            <w:tcBorders>
              <w:top w:val="single" w:color="A6A6A6" w:sz="4" w:space="0"/>
              <w:left w:val="single" w:color="A6A6A6" w:sz="4" w:space="0"/>
              <w:bottom w:val="single" w:color="A6A6A6" w:sz="4" w:space="0"/>
              <w:right w:val="single" w:color="A6A6A6" w:sz="4" w:space="0"/>
            </w:tcBorders>
          </w:tcPr>
          <w:p w14:paraId="00000175">
            <w:pPr>
              <w:ind w:left="662" w:hanging="662"/>
              <w:rPr>
                <w:rFonts w:ascii="Calibri" w:hAnsi="Calibri" w:eastAsia="Calibri" w:cs="Calibri"/>
                <w:color w:val="1E4D74"/>
                <w:sz w:val="20"/>
                <w:szCs w:val="20"/>
                <w:u w:val="none"/>
              </w:rPr>
            </w:pPr>
            <w:r>
              <w:rPr>
                <w:rtl w:val="0"/>
              </w:rPr>
              <w:t>H315     Provoque une irritation cutanée.</w:t>
            </w:r>
          </w:p>
          <w:p w14:paraId="00000176">
            <w:pPr>
              <w:ind w:left="662" w:hanging="662"/>
            </w:pPr>
            <w:r>
              <w:rPr>
                <w:rtl w:val="0"/>
              </w:rPr>
              <w:t>H317     Peut provoquer une allergie cutanée.</w:t>
            </w:r>
          </w:p>
          <w:p w14:paraId="00000177">
            <w:pPr>
              <w:ind w:left="662" w:hanging="662"/>
            </w:pPr>
            <w:r>
              <w:rPr>
                <w:rtl w:val="0"/>
              </w:rPr>
              <w:t>H319     Provoque une sévère irritation des yeux</w:t>
            </w:r>
          </w:p>
        </w:tc>
      </w:tr>
      <w:tr w14:paraId="245F63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tcBorders>
          </w:tcPr>
          <w:p w14:paraId="00000178">
            <w:r>
              <w:rPr>
                <w:rtl w:val="0"/>
              </w:rPr>
              <w:t>N°EC</w:t>
            </w:r>
          </w:p>
        </w:tc>
        <w:tc>
          <w:tcPr>
            <w:tcBorders>
              <w:right w:val="single" w:color="A6A6A6" w:sz="4" w:space="0"/>
            </w:tcBorders>
          </w:tcPr>
          <w:p w14:paraId="00000179">
            <w:r>
              <w:rPr>
                <w:rtl w:val="0"/>
              </w:rPr>
              <w:t>204-116-4</w:t>
            </w:r>
          </w:p>
        </w:tc>
        <w:tc>
          <w:tcPr>
            <w:vMerge w:val="continue"/>
            <w:tcBorders>
              <w:top w:val="single" w:color="A6A6A6" w:sz="4" w:space="0"/>
              <w:left w:val="single" w:color="A6A6A6" w:sz="4" w:space="0"/>
              <w:bottom w:val="single" w:color="A6A6A6" w:sz="4" w:space="0"/>
              <w:right w:val="single" w:color="A6A6A6" w:sz="4" w:space="0"/>
            </w:tcBorders>
          </w:tcPr>
          <w:p w14:paraId="000001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7B">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7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r w14:paraId="4DBF8B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tcPr>
            <w:tcBorders>
              <w:left w:val="single" w:color="A6A6A6" w:sz="4" w:space="0"/>
              <w:bottom w:val="single" w:color="A6A6A6" w:sz="4" w:space="0"/>
            </w:tcBorders>
          </w:tcPr>
          <w:p w14:paraId="0000017D">
            <w:r>
              <w:rPr>
                <w:rtl w:val="0"/>
              </w:rPr>
              <w:t>N°IDX</w:t>
            </w:r>
          </w:p>
        </w:tc>
        <w:tc>
          <w:tcPr>
            <w:tcBorders>
              <w:bottom w:val="single" w:color="A6A6A6" w:sz="4" w:space="0"/>
              <w:right w:val="single" w:color="A6A6A6" w:sz="4" w:space="0"/>
            </w:tcBorders>
          </w:tcPr>
          <w:p w14:paraId="0000017E"/>
        </w:tc>
        <w:tc>
          <w:tcPr>
            <w:vMerge w:val="continue"/>
            <w:tcBorders>
              <w:top w:val="single" w:color="A6A6A6" w:sz="4" w:space="0"/>
              <w:left w:val="single" w:color="A6A6A6" w:sz="4" w:space="0"/>
              <w:bottom w:val="single" w:color="A6A6A6" w:sz="4" w:space="0"/>
              <w:right w:val="single" w:color="A6A6A6" w:sz="4" w:space="0"/>
            </w:tcBorders>
          </w:tcPr>
          <w:p w14:paraId="0000017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8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c>
          <w:tcPr>
            <w:vMerge w:val="continue"/>
            <w:tcBorders>
              <w:top w:val="single" w:color="A6A6A6" w:sz="4" w:space="0"/>
              <w:left w:val="single" w:color="A6A6A6" w:sz="4" w:space="0"/>
              <w:bottom w:val="single" w:color="A6A6A6" w:sz="4" w:space="0"/>
              <w:right w:val="single" w:color="A6A6A6" w:sz="4" w:space="0"/>
            </w:tcBorders>
          </w:tcPr>
          <w:p w14:paraId="000001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pPr>
          </w:p>
        </w:tc>
      </w:tr>
    </w:tbl>
    <w:p w14:paraId="00000182">
      <w:r>
        <w:rPr>
          <w:rtl w:val="0"/>
        </w:rPr>
        <w:t>[1] Substances pour lesquelles des limites maximales d'exposition en milieu de travail sont disponibles.</w:t>
      </w:r>
    </w:p>
    <w:p w14:paraId="00000183"/>
    <w:tbl>
      <w:tblPr>
        <w:tblStyle w:val="10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0014E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84"/>
        </w:tc>
        <w:tc>
          <w:p w14:paraId="00000185">
            <w:pPr>
              <w:pStyle w:val="3"/>
              <w:spacing w:after="0" w:line="240" w:lineRule="auto"/>
              <w:rPr>
                <w:sz w:val="28"/>
                <w:szCs w:val="28"/>
              </w:rPr>
            </w:pPr>
            <w:r>
              <w:rPr>
                <w:rtl w:val="0"/>
              </w:rPr>
              <w:t>3.3</w:t>
            </w:r>
          </w:p>
        </w:tc>
        <w:tc>
          <w:p w14:paraId="00000186">
            <w:pPr>
              <w:pStyle w:val="3"/>
              <w:spacing w:after="0" w:line="240" w:lineRule="auto"/>
            </w:pPr>
            <w:r>
              <w:rPr>
                <w:rtl w:val="0"/>
              </w:rPr>
              <w:t>Remarque</w:t>
            </w:r>
          </w:p>
        </w:tc>
      </w:tr>
      <w:tr w14:paraId="049686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87"/>
        </w:tc>
        <w:tc>
          <w:p w14:paraId="00000188"/>
        </w:tc>
        <w:tc>
          <w:p w14:paraId="00000189">
            <w:r>
              <w:rPr>
                <w:sz w:val="12"/>
                <w:szCs w:val="12"/>
              </w:rPr>
              <w:drawing>
                <wp:inline distT="0" distB="0" distL="0" distR="0">
                  <wp:extent cx="405765" cy="37465"/>
                  <wp:effectExtent l="0" t="0" r="0" b="0"/>
                  <wp:docPr id="121" name="image1.jpg"/>
                  <wp:cNvGraphicFramePr/>
                  <a:graphic xmlns:a="http://schemas.openxmlformats.org/drawingml/2006/main">
                    <a:graphicData uri="http://schemas.openxmlformats.org/drawingml/2006/picture">
                      <pic:pic xmlns:pic="http://schemas.openxmlformats.org/drawingml/2006/picture">
                        <pic:nvPicPr>
                          <pic:cNvPr id="12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8A">
      <w:r>
        <w:rPr>
          <w:rtl w:val="0"/>
        </w:rPr>
        <w:t>Texte intégral des phrases H- et EUH- : voir la section 16.</w:t>
      </w:r>
    </w:p>
    <w:p w14:paraId="0000018B"/>
    <w:tbl>
      <w:tblPr>
        <w:tblStyle w:val="10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12EDBE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18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8D">
            <w:pPr>
              <w:jc w:val="center"/>
              <w:rPr>
                <w:b/>
                <w:sz w:val="16"/>
                <w:szCs w:val="16"/>
              </w:rPr>
            </w:pPr>
            <w:r>
              <w:rPr>
                <w:b/>
                <w:sz w:val="16"/>
                <w:szCs w:val="16"/>
                <w:rtl w:val="0"/>
              </w:rPr>
              <w:t>section</w:t>
            </w:r>
          </w:p>
        </w:tc>
        <w:tc>
          <w:tcPr>
            <w:shd w:val="clear" w:color="auto" w:fill="A8D8A7"/>
            <w:vAlign w:val="center"/>
          </w:tcPr>
          <w:p w14:paraId="0000018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4</w:t>
            </w:r>
          </w:p>
        </w:tc>
        <w:tc>
          <w:tcPr>
            <w:shd w:val="clear" w:color="auto" w:fill="A8D8A7"/>
            <w:vAlign w:val="center"/>
          </w:tcPr>
          <w:p w14:paraId="0000018F">
            <w:pPr>
              <w:pStyle w:val="2"/>
              <w:spacing w:line="240" w:lineRule="auto"/>
            </w:pPr>
            <w:r>
              <w:rPr>
                <w:rtl w:val="0"/>
              </w:rPr>
              <w:t>Premiers secours</w:t>
            </w:r>
          </w:p>
        </w:tc>
        <w:tc>
          <w:tcPr>
            <w:shd w:val="clear" w:color="auto" w:fill="A8D8A7"/>
            <w:vAlign w:val="center"/>
          </w:tcPr>
          <w:p w14:paraId="000001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91"/>
    <w:tbl>
      <w:tblPr>
        <w:tblStyle w:val="10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09CFE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92"/>
        </w:tc>
        <w:tc>
          <w:p w14:paraId="00000193">
            <w:pPr>
              <w:pStyle w:val="3"/>
              <w:spacing w:after="0" w:line="240" w:lineRule="auto"/>
              <w:rPr>
                <w:sz w:val="28"/>
                <w:szCs w:val="28"/>
              </w:rPr>
            </w:pPr>
            <w:r>
              <w:rPr>
                <w:rtl w:val="0"/>
              </w:rPr>
              <w:t>4.1</w:t>
            </w:r>
          </w:p>
        </w:tc>
        <w:tc>
          <w:p w14:paraId="00000194">
            <w:pPr>
              <w:pStyle w:val="3"/>
              <w:spacing w:after="0" w:line="240" w:lineRule="auto"/>
            </w:pPr>
            <w:r>
              <w:rPr>
                <w:rtl w:val="0"/>
              </w:rPr>
              <w:t>Description des mesures de premiers secours</w:t>
            </w:r>
          </w:p>
        </w:tc>
      </w:tr>
      <w:tr w14:paraId="4C2E57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95"/>
        </w:tc>
        <w:tc>
          <w:p w14:paraId="00000196"/>
        </w:tc>
        <w:tc>
          <w:p w14:paraId="00000197">
            <w:r>
              <w:rPr>
                <w:sz w:val="12"/>
                <w:szCs w:val="12"/>
              </w:rPr>
              <w:drawing>
                <wp:inline distT="0" distB="0" distL="0" distR="0">
                  <wp:extent cx="405765" cy="37465"/>
                  <wp:effectExtent l="0" t="0" r="0" b="0"/>
                  <wp:docPr id="119" name="image1.jpg"/>
                  <wp:cNvGraphicFramePr/>
                  <a:graphic xmlns:a="http://schemas.openxmlformats.org/drawingml/2006/main">
                    <a:graphicData uri="http://schemas.openxmlformats.org/drawingml/2006/picture">
                      <pic:pic xmlns:pic="http://schemas.openxmlformats.org/drawingml/2006/picture">
                        <pic:nvPicPr>
                          <pic:cNvPr id="11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98">
      <w:pPr>
        <w:pStyle w:val="4"/>
      </w:pPr>
      <w:r>
        <w:rPr>
          <w:b/>
          <w:color w:val="000000"/>
          <w:rtl w:val="0"/>
        </w:rPr>
        <w:t>Conseils généraux</w:t>
      </w:r>
      <w:r>
        <w:rPr>
          <w:rtl w:val="0"/>
        </w:rPr>
        <w:t xml:space="preserve"> : </w:t>
      </w:r>
    </w:p>
    <w:p w14:paraId="00000199">
      <w:r>
        <w:rPr>
          <w:rtl w:val="0"/>
        </w:rPr>
        <w:t>En cas d'accident ou de malaise, consulter immédiatement un médecin (montrer le mode d'emploi ou la fiche de données de sécurité si possible).</w:t>
      </w:r>
    </w:p>
    <w:p w14:paraId="0000019A">
      <w:r>
        <w:rPr>
          <w:rtl w:val="0"/>
        </w:rPr>
        <w:t>Ne pas laisser la personne affectée sans surveillance.</w:t>
      </w:r>
    </w:p>
    <w:p w14:paraId="0000019B">
      <w:r>
        <w:rPr>
          <w:rtl w:val="0"/>
        </w:rPr>
        <w:t>Transporter la victime hors de la zone de danger.</w:t>
      </w:r>
    </w:p>
    <w:p w14:paraId="0000019C">
      <w:r>
        <w:rPr>
          <w:rtl w:val="0"/>
        </w:rPr>
        <w:t>Garder la personne affectée au chaud, immobile et couverte.</w:t>
      </w:r>
    </w:p>
    <w:p w14:paraId="0000019D"/>
    <w:p w14:paraId="0000019E">
      <w:pPr>
        <w:pStyle w:val="4"/>
      </w:pPr>
      <w:r>
        <w:rPr>
          <w:b/>
          <w:color w:val="000000"/>
          <w:rtl w:val="0"/>
        </w:rPr>
        <w:t>En cas d’inhalation</w:t>
      </w:r>
      <w:r>
        <w:rPr>
          <w:rtl w:val="0"/>
        </w:rPr>
        <w:t xml:space="preserve"> : </w:t>
      </w:r>
    </w:p>
    <w:p w14:paraId="0000019F">
      <w:r>
        <w:rPr>
          <w:rtl w:val="0"/>
        </w:rPr>
        <w:t>Transporter la personne à l’extérieur et la maintenir dans une position où elle peut confortablement respirer.</w:t>
      </w:r>
    </w:p>
    <w:p w14:paraId="000001A0"/>
    <w:p w14:paraId="000001A1">
      <w:pPr>
        <w:pStyle w:val="4"/>
      </w:pPr>
      <w:r>
        <w:rPr>
          <w:b/>
          <w:color w:val="000000"/>
          <w:rtl w:val="0"/>
        </w:rPr>
        <w:t>Après contact avec la peau</w:t>
      </w:r>
      <w:r>
        <w:rPr>
          <w:rtl w:val="0"/>
        </w:rPr>
        <w:t xml:space="preserve"> : </w:t>
      </w:r>
    </w:p>
    <w:p w14:paraId="000001A2">
      <w:r>
        <w:rPr>
          <w:rtl w:val="0"/>
        </w:rPr>
        <w:t>Enlever immédiatement les vêtements contaminés et trempés.</w:t>
      </w:r>
    </w:p>
    <w:p w14:paraId="000001A3">
      <w:r>
        <w:rPr>
          <w:rtl w:val="0"/>
        </w:rPr>
        <w:t>Après un contact cutané, laver immédiatement et abondamment avec de l'eau et du savon.</w:t>
      </w:r>
    </w:p>
    <w:p w14:paraId="000001A4">
      <w:r>
        <w:rPr>
          <w:rtl w:val="0"/>
        </w:rPr>
        <w:t>Enlever les vêtements contaminés.</w:t>
      </w:r>
    </w:p>
    <w:p w14:paraId="000001A5">
      <w:r>
        <w:rPr>
          <w:rtl w:val="0"/>
        </w:rPr>
        <w:t>En cas de réactions cutanées, consulter un médecin.</w:t>
      </w:r>
    </w:p>
    <w:p w14:paraId="000001A6"/>
    <w:p w14:paraId="000001A7">
      <w:pPr>
        <w:pStyle w:val="4"/>
      </w:pPr>
      <w:r>
        <w:rPr>
          <w:b/>
          <w:color w:val="000000"/>
          <w:rtl w:val="0"/>
        </w:rPr>
        <w:t>En cas de contact avec les yeux</w:t>
      </w:r>
      <w:r>
        <w:rPr>
          <w:rtl w:val="0"/>
        </w:rPr>
        <w:t xml:space="preserve"> : </w:t>
      </w:r>
    </w:p>
    <w:p w14:paraId="000001A8">
      <w:r>
        <w:rPr>
          <w:rtl w:val="0"/>
        </w:rPr>
        <w:t>En cas d'irritation oculaire, consulter un ophtalmologiste.</w:t>
      </w:r>
    </w:p>
    <w:p w14:paraId="000001A9">
      <w:r>
        <w:rPr>
          <w:rtl w:val="0"/>
        </w:rPr>
        <w:t>Rincer soigneusement et abondamment avec un bain oculaire ou de l'eau.</w:t>
      </w:r>
    </w:p>
    <w:p w14:paraId="000001AA"/>
    <w:p w14:paraId="000001AB">
      <w:pPr>
        <w:pStyle w:val="4"/>
      </w:pPr>
      <w:r>
        <w:rPr>
          <w:b/>
          <w:color w:val="000000"/>
          <w:rtl w:val="0"/>
        </w:rPr>
        <w:t>En cas d’ingestion</w:t>
      </w:r>
      <w:r>
        <w:rPr>
          <w:rtl w:val="0"/>
        </w:rPr>
        <w:t xml:space="preserve"> : </w:t>
      </w:r>
    </w:p>
    <w:p w14:paraId="000001AC">
      <w:r>
        <w:rPr>
          <w:rtl w:val="0"/>
        </w:rPr>
        <w:t>Ne jamais rien donner par la bouche à une personne inconsciente ou une personne avec des crampes.</w:t>
      </w:r>
    </w:p>
    <w:p w14:paraId="000001AD">
      <w:r>
        <w:rPr>
          <w:rtl w:val="0"/>
        </w:rPr>
        <w:t>EN CAS D'INGESTION: Rincer la bouche.</w:t>
      </w:r>
    </w:p>
    <w:p w14:paraId="000001AE">
      <w:r>
        <w:rPr>
          <w:rtl w:val="0"/>
        </w:rPr>
        <w:t>NE PAS faire vomir.</w:t>
      </w:r>
    </w:p>
    <w:p w14:paraId="000001AF"/>
    <w:p w14:paraId="000001B0">
      <w:pPr>
        <w:pStyle w:val="4"/>
      </w:pPr>
      <w:r>
        <w:rPr>
          <w:b/>
          <w:color w:val="000000"/>
          <w:rtl w:val="0"/>
        </w:rPr>
        <w:t>Protection des sauveteurs</w:t>
      </w:r>
      <w:r>
        <w:rPr>
          <w:rtl w:val="0"/>
        </w:rPr>
        <w:t xml:space="preserve"> : </w:t>
      </w:r>
    </w:p>
    <w:p w14:paraId="000001B1">
      <w:r>
        <w:rPr>
          <w:rtl w:val="0"/>
        </w:rPr>
        <w:t>Premiers secours : faites attention à l'autoprotection !.</w:t>
      </w:r>
    </w:p>
    <w:p w14:paraId="000001B2"/>
    <w:tbl>
      <w:tblPr>
        <w:tblStyle w:val="11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4BEAB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B3"/>
        </w:tc>
        <w:tc>
          <w:p w14:paraId="000001B4">
            <w:pPr>
              <w:pStyle w:val="3"/>
              <w:spacing w:after="0" w:line="240" w:lineRule="auto"/>
              <w:rPr>
                <w:sz w:val="28"/>
                <w:szCs w:val="28"/>
              </w:rPr>
            </w:pPr>
            <w:r>
              <w:rPr>
                <w:rtl w:val="0"/>
              </w:rPr>
              <w:t>4.2</w:t>
            </w:r>
          </w:p>
        </w:tc>
        <w:tc>
          <w:p w14:paraId="000001B5">
            <w:pPr>
              <w:pStyle w:val="3"/>
              <w:spacing w:after="0" w:line="240" w:lineRule="auto"/>
            </w:pPr>
            <w:r>
              <w:rPr>
                <w:rtl w:val="0"/>
              </w:rPr>
              <w:t>Principaux symptômes et effets, aigus et différés</w:t>
            </w:r>
          </w:p>
        </w:tc>
      </w:tr>
      <w:tr w14:paraId="193ECC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B6"/>
        </w:tc>
        <w:tc>
          <w:p w14:paraId="000001B7"/>
        </w:tc>
        <w:tc>
          <w:p w14:paraId="000001B8">
            <w:r>
              <w:rPr>
                <w:sz w:val="12"/>
                <w:szCs w:val="12"/>
              </w:rPr>
              <w:drawing>
                <wp:inline distT="0" distB="0" distL="0" distR="0">
                  <wp:extent cx="405765" cy="37465"/>
                  <wp:effectExtent l="0" t="0" r="0" b="0"/>
                  <wp:docPr id="120" name="image1.jpg"/>
                  <wp:cNvGraphicFramePr/>
                  <a:graphic xmlns:a="http://schemas.openxmlformats.org/drawingml/2006/main">
                    <a:graphicData uri="http://schemas.openxmlformats.org/drawingml/2006/picture">
                      <pic:pic xmlns:pic="http://schemas.openxmlformats.org/drawingml/2006/picture">
                        <pic:nvPicPr>
                          <pic:cNvPr id="12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B9">
      <w:r>
        <w:rPr>
          <w:rtl w:val="0"/>
        </w:rPr>
        <w:t>Les principaux symptômes et effets connus sont décrits sur l'étiquette (voir section 2.2) et/ou à l'article 11.</w:t>
      </w:r>
    </w:p>
    <w:p w14:paraId="000001BA"/>
    <w:tbl>
      <w:tblPr>
        <w:tblStyle w:val="11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E402F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BB"/>
        </w:tc>
        <w:tc>
          <w:p w14:paraId="000001BC">
            <w:pPr>
              <w:pStyle w:val="3"/>
              <w:spacing w:after="0" w:line="240" w:lineRule="auto"/>
              <w:rPr>
                <w:sz w:val="28"/>
                <w:szCs w:val="28"/>
              </w:rPr>
            </w:pPr>
            <w:r>
              <w:rPr>
                <w:rtl w:val="0"/>
              </w:rPr>
              <w:t>4.3</w:t>
            </w:r>
          </w:p>
        </w:tc>
        <w:tc>
          <w:p w14:paraId="000001BD">
            <w:pPr>
              <w:pStyle w:val="3"/>
              <w:spacing w:after="0" w:line="240" w:lineRule="auto"/>
            </w:pPr>
            <w:r>
              <w:rPr>
                <w:rtl w:val="0"/>
              </w:rPr>
              <w:t>Indication des éventuels soins médicaux immédiats et traitements particuliers nécessaires</w:t>
            </w:r>
          </w:p>
        </w:tc>
      </w:tr>
      <w:tr w14:paraId="7849B2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BE"/>
        </w:tc>
        <w:tc>
          <w:p w14:paraId="000001BF"/>
        </w:tc>
        <w:tc>
          <w:p w14:paraId="000001C0">
            <w:r>
              <w:rPr>
                <w:sz w:val="12"/>
                <w:szCs w:val="12"/>
              </w:rPr>
              <w:drawing>
                <wp:inline distT="0" distB="0" distL="0" distR="0">
                  <wp:extent cx="405765" cy="37465"/>
                  <wp:effectExtent l="0" t="0" r="0" b="0"/>
                  <wp:docPr id="122" name="image1.jpg"/>
                  <wp:cNvGraphicFramePr/>
                  <a:graphic xmlns:a="http://schemas.openxmlformats.org/drawingml/2006/main">
                    <a:graphicData uri="http://schemas.openxmlformats.org/drawingml/2006/picture">
                      <pic:pic xmlns:pic="http://schemas.openxmlformats.org/drawingml/2006/picture">
                        <pic:nvPicPr>
                          <pic:cNvPr id="12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C1">
      <w:pPr>
        <w:pStyle w:val="4"/>
      </w:pPr>
      <w:r>
        <w:rPr>
          <w:b/>
          <w:color w:val="000000"/>
          <w:rtl w:val="0"/>
        </w:rPr>
        <w:t>Notes pour le médecin</w:t>
      </w:r>
      <w:r>
        <w:rPr>
          <w:rtl w:val="0"/>
        </w:rPr>
        <w:t xml:space="preserve"> : </w:t>
      </w:r>
    </w:p>
    <w:p w14:paraId="000001C2">
      <w:r>
        <w:rPr>
          <w:rtl w:val="0"/>
        </w:rPr>
        <w:t>Traitement symptomatique.</w:t>
      </w:r>
    </w:p>
    <w:p w14:paraId="000001C3"/>
    <w:tbl>
      <w:tblPr>
        <w:tblStyle w:val="11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0ECB09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1C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C5">
            <w:pPr>
              <w:jc w:val="center"/>
              <w:rPr>
                <w:b/>
                <w:sz w:val="16"/>
                <w:szCs w:val="16"/>
              </w:rPr>
            </w:pPr>
            <w:r>
              <w:rPr>
                <w:b/>
                <w:sz w:val="16"/>
                <w:szCs w:val="16"/>
                <w:rtl w:val="0"/>
              </w:rPr>
              <w:t>section</w:t>
            </w:r>
          </w:p>
        </w:tc>
        <w:tc>
          <w:tcPr>
            <w:shd w:val="clear" w:color="auto" w:fill="A8D8A7"/>
            <w:vAlign w:val="center"/>
          </w:tcPr>
          <w:p w14:paraId="000001C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5</w:t>
            </w:r>
          </w:p>
        </w:tc>
        <w:tc>
          <w:tcPr>
            <w:shd w:val="clear" w:color="auto" w:fill="A8D8A7"/>
            <w:vAlign w:val="center"/>
          </w:tcPr>
          <w:p w14:paraId="000001C7">
            <w:pPr>
              <w:pStyle w:val="2"/>
              <w:spacing w:line="240" w:lineRule="auto"/>
            </w:pPr>
            <w:r>
              <w:rPr>
                <w:rtl w:val="0"/>
              </w:rPr>
              <w:t>Mesures de lutte contre l’incendie</w:t>
            </w:r>
          </w:p>
        </w:tc>
        <w:tc>
          <w:tcPr>
            <w:shd w:val="clear" w:color="auto" w:fill="A8D8A7"/>
            <w:vAlign w:val="center"/>
          </w:tcPr>
          <w:p w14:paraId="000001C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C9"/>
    <w:tbl>
      <w:tblPr>
        <w:tblStyle w:val="11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6D1A6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CA"/>
        </w:tc>
        <w:tc>
          <w:p w14:paraId="000001CB">
            <w:pPr>
              <w:pStyle w:val="3"/>
              <w:spacing w:after="0" w:line="240" w:lineRule="auto"/>
              <w:rPr>
                <w:sz w:val="28"/>
                <w:szCs w:val="28"/>
              </w:rPr>
            </w:pPr>
            <w:r>
              <w:rPr>
                <w:rtl w:val="0"/>
              </w:rPr>
              <w:t>5.1</w:t>
            </w:r>
          </w:p>
        </w:tc>
        <w:tc>
          <w:p w14:paraId="000001CC">
            <w:pPr>
              <w:pStyle w:val="3"/>
              <w:spacing w:after="0" w:line="240" w:lineRule="auto"/>
            </w:pPr>
            <w:r>
              <w:rPr>
                <w:rtl w:val="0"/>
              </w:rPr>
              <w:t>Moyens d’extinction</w:t>
            </w:r>
          </w:p>
        </w:tc>
      </w:tr>
      <w:tr w14:paraId="406B365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CD"/>
        </w:tc>
        <w:tc>
          <w:p w14:paraId="000001CE"/>
        </w:tc>
        <w:tc>
          <w:p w14:paraId="000001CF">
            <w:r>
              <w:rPr>
                <w:sz w:val="12"/>
                <w:szCs w:val="12"/>
              </w:rPr>
              <w:drawing>
                <wp:inline distT="0" distB="0" distL="0" distR="0">
                  <wp:extent cx="405765" cy="37465"/>
                  <wp:effectExtent l="0" t="0" r="0" b="0"/>
                  <wp:docPr id="123" name="image1.jpg"/>
                  <wp:cNvGraphicFramePr/>
                  <a:graphic xmlns:a="http://schemas.openxmlformats.org/drawingml/2006/main">
                    <a:graphicData uri="http://schemas.openxmlformats.org/drawingml/2006/picture">
                      <pic:pic xmlns:pic="http://schemas.openxmlformats.org/drawingml/2006/picture">
                        <pic:nvPicPr>
                          <pic:cNvPr id="12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D0">
      <w:pPr>
        <w:pStyle w:val="4"/>
      </w:pPr>
      <w:r>
        <w:rPr>
          <w:b/>
          <w:color w:val="000000"/>
          <w:rtl w:val="0"/>
        </w:rPr>
        <w:t>Moyens d'extinction appropriés</w:t>
      </w:r>
      <w:r>
        <w:rPr>
          <w:rtl w:val="0"/>
        </w:rPr>
        <w:t xml:space="preserve"> : </w:t>
      </w:r>
    </w:p>
    <w:p w14:paraId="000001D1">
      <w:r>
        <w:rPr>
          <w:rtl w:val="0"/>
        </w:rPr>
        <w:t>Mousse.</w:t>
      </w:r>
    </w:p>
    <w:p w14:paraId="000001D2">
      <w:r>
        <w:rPr>
          <w:rtl w:val="0"/>
        </w:rPr>
        <w:t>Poudre d'extinction.</w:t>
      </w:r>
    </w:p>
    <w:p w14:paraId="000001D3">
      <w:r>
        <w:rPr>
          <w:rtl w:val="0"/>
        </w:rPr>
        <w:t>Dioxyde de carbone (CO2).</w:t>
      </w:r>
    </w:p>
    <w:p w14:paraId="000001D4">
      <w:r>
        <w:rPr>
          <w:rtl w:val="0"/>
        </w:rPr>
        <w:t>Sable.</w:t>
      </w:r>
    </w:p>
    <w:p w14:paraId="000001D5"/>
    <w:p w14:paraId="000001D6">
      <w:pPr>
        <w:pStyle w:val="4"/>
      </w:pPr>
      <w:r>
        <w:rPr>
          <w:b/>
          <w:color w:val="000000"/>
          <w:rtl w:val="0"/>
        </w:rPr>
        <w:t>Moyens d'extinction inappropriés</w:t>
      </w:r>
      <w:r>
        <w:rPr>
          <w:rtl w:val="0"/>
        </w:rPr>
        <w:t xml:space="preserve"> : </w:t>
      </w:r>
    </w:p>
    <w:p w14:paraId="000001D7">
      <w:r>
        <w:rPr>
          <w:rtl w:val="0"/>
        </w:rPr>
        <w:t>Jet d'eau.</w:t>
      </w:r>
    </w:p>
    <w:p w14:paraId="000001D8"/>
    <w:tbl>
      <w:tblPr>
        <w:tblStyle w:val="11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A7C24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D9"/>
        </w:tc>
        <w:tc>
          <w:p w14:paraId="000001DA">
            <w:pPr>
              <w:pStyle w:val="3"/>
              <w:spacing w:after="0" w:line="240" w:lineRule="auto"/>
              <w:rPr>
                <w:sz w:val="28"/>
                <w:szCs w:val="28"/>
              </w:rPr>
            </w:pPr>
            <w:r>
              <w:rPr>
                <w:rtl w:val="0"/>
              </w:rPr>
              <w:t>5.2</w:t>
            </w:r>
          </w:p>
        </w:tc>
        <w:tc>
          <w:p w14:paraId="000001DB">
            <w:pPr>
              <w:pStyle w:val="3"/>
              <w:spacing w:after="0" w:line="240" w:lineRule="auto"/>
            </w:pPr>
            <w:r>
              <w:rPr>
                <w:rtl w:val="0"/>
              </w:rPr>
              <w:t>Dangers particuliers résultant de la substance ou du mélange</w:t>
            </w:r>
          </w:p>
        </w:tc>
      </w:tr>
      <w:tr w14:paraId="20FD28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DC"/>
        </w:tc>
        <w:tc>
          <w:p w14:paraId="000001DD"/>
        </w:tc>
        <w:tc>
          <w:p w14:paraId="000001DE">
            <w:r>
              <w:rPr>
                <w:sz w:val="12"/>
                <w:szCs w:val="12"/>
              </w:rPr>
              <w:drawing>
                <wp:inline distT="0" distB="0" distL="0" distR="0">
                  <wp:extent cx="405765" cy="37465"/>
                  <wp:effectExtent l="0" t="0" r="0" b="0"/>
                  <wp:docPr id="124" name="image1.jpg"/>
                  <wp:cNvGraphicFramePr/>
                  <a:graphic xmlns:a="http://schemas.openxmlformats.org/drawingml/2006/main">
                    <a:graphicData uri="http://schemas.openxmlformats.org/drawingml/2006/picture">
                      <pic:pic xmlns:pic="http://schemas.openxmlformats.org/drawingml/2006/picture">
                        <pic:nvPicPr>
                          <pic:cNvPr id="12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DF">
      <w:r>
        <w:rPr>
          <w:rtl w:val="0"/>
        </w:rPr>
        <w:t>La formation de gaz toxiques est possible pendant le chauffage ou en cas d'incendie.</w:t>
      </w:r>
    </w:p>
    <w:p w14:paraId="000001E0"/>
    <w:tbl>
      <w:tblPr>
        <w:tblStyle w:val="11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719CA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E1"/>
        </w:tc>
        <w:tc>
          <w:p w14:paraId="000001E2">
            <w:pPr>
              <w:pStyle w:val="3"/>
              <w:spacing w:after="0" w:line="240" w:lineRule="auto"/>
              <w:rPr>
                <w:sz w:val="28"/>
                <w:szCs w:val="28"/>
              </w:rPr>
            </w:pPr>
            <w:r>
              <w:rPr>
                <w:rtl w:val="0"/>
              </w:rPr>
              <w:t>5.3</w:t>
            </w:r>
          </w:p>
        </w:tc>
        <w:tc>
          <w:p w14:paraId="000001E3">
            <w:pPr>
              <w:pStyle w:val="3"/>
              <w:spacing w:after="0" w:line="240" w:lineRule="auto"/>
            </w:pPr>
            <w:r>
              <w:rPr>
                <w:rtl w:val="0"/>
              </w:rPr>
              <w:t>Conseils aux pompiers</w:t>
            </w:r>
          </w:p>
        </w:tc>
      </w:tr>
      <w:tr w14:paraId="0B1945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E4"/>
        </w:tc>
        <w:tc>
          <w:p w14:paraId="000001E5"/>
        </w:tc>
        <w:tc>
          <w:p w14:paraId="000001E6">
            <w:r>
              <w:rPr>
                <w:sz w:val="12"/>
                <w:szCs w:val="12"/>
              </w:rPr>
              <w:drawing>
                <wp:inline distT="0" distB="0" distL="0" distR="0">
                  <wp:extent cx="405765" cy="37465"/>
                  <wp:effectExtent l="0" t="0" r="0" b="0"/>
                  <wp:docPr id="125" name="image1.jpg"/>
                  <wp:cNvGraphicFramePr/>
                  <a:graphic xmlns:a="http://schemas.openxmlformats.org/drawingml/2006/main">
                    <a:graphicData uri="http://schemas.openxmlformats.org/drawingml/2006/picture">
                      <pic:pic xmlns:pic="http://schemas.openxmlformats.org/drawingml/2006/picture">
                        <pic:nvPicPr>
                          <pic:cNvPr id="12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E7">
      <w:r>
        <w:rPr>
          <w:rtl w:val="0"/>
        </w:rPr>
        <w:t>Porter un appareil respiratoire isolant et des vêtements de protection chimique.</w:t>
      </w:r>
    </w:p>
    <w:p w14:paraId="000001E8"/>
    <w:tbl>
      <w:tblPr>
        <w:tblStyle w:val="11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C9A51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E9"/>
        </w:tc>
        <w:tc>
          <w:p w14:paraId="000001EA">
            <w:pPr>
              <w:pStyle w:val="3"/>
              <w:spacing w:after="0" w:line="240" w:lineRule="auto"/>
              <w:rPr>
                <w:sz w:val="28"/>
                <w:szCs w:val="28"/>
              </w:rPr>
            </w:pPr>
            <w:r>
              <w:rPr>
                <w:rtl w:val="0"/>
              </w:rPr>
              <w:t>5.4</w:t>
            </w:r>
          </w:p>
        </w:tc>
        <w:tc>
          <w:p w14:paraId="000001EB">
            <w:pPr>
              <w:pStyle w:val="3"/>
              <w:spacing w:after="0" w:line="240" w:lineRule="auto"/>
            </w:pPr>
            <w:r>
              <w:rPr>
                <w:rtl w:val="0"/>
              </w:rPr>
              <w:t>Informations complémentaires</w:t>
            </w:r>
          </w:p>
        </w:tc>
      </w:tr>
      <w:tr w14:paraId="2D515F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EC"/>
        </w:tc>
        <w:tc>
          <w:p w14:paraId="000001ED"/>
        </w:tc>
        <w:tc>
          <w:p w14:paraId="000001EE">
            <w:r>
              <w:rPr>
                <w:sz w:val="12"/>
                <w:szCs w:val="12"/>
              </w:rPr>
              <w:drawing>
                <wp:inline distT="0" distB="0" distL="0" distR="0">
                  <wp:extent cx="405765" cy="37465"/>
                  <wp:effectExtent l="0" t="0" r="0" b="0"/>
                  <wp:docPr id="126" name="image1.jpg"/>
                  <wp:cNvGraphicFramePr/>
                  <a:graphic xmlns:a="http://schemas.openxmlformats.org/drawingml/2006/main">
                    <a:graphicData uri="http://schemas.openxmlformats.org/drawingml/2006/picture">
                      <pic:pic xmlns:pic="http://schemas.openxmlformats.org/drawingml/2006/picture">
                        <pic:nvPicPr>
                          <pic:cNvPr id="12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1EF">
      <w:r>
        <w:rPr>
          <w:rtl w:val="0"/>
        </w:rPr>
        <w:t>Ne pas inhaler les gaz d'explosion et d'incendie.</w:t>
      </w:r>
    </w:p>
    <w:p w14:paraId="000001F0">
      <w:r>
        <w:rPr>
          <w:rtl w:val="0"/>
        </w:rPr>
        <w:t>Coordonner les mesures de lutte contre les incendies dans les installations environnantes.</w:t>
      </w:r>
    </w:p>
    <w:p w14:paraId="000001F1">
      <w:r>
        <w:rPr>
          <w:rtl w:val="0"/>
        </w:rPr>
        <w:t>Écarter les conteneurs non endommagés de la zone de danger immédiate si cela peut se faire en toute sécurité.</w:t>
      </w:r>
    </w:p>
    <w:p w14:paraId="000001F2">
      <w:r>
        <w:rPr>
          <w:rtl w:val="0"/>
        </w:rPr>
        <w:t>Faites preuve de prudence lors de l'application de dioxyde de carbone dans des espaces confinés. Le dioxyde de carbone peut déplacer l'oxygène.</w:t>
      </w:r>
    </w:p>
    <w:p w14:paraId="000001F3">
      <w:r>
        <w:rPr>
          <w:rtl w:val="0"/>
        </w:rPr>
        <w:t>Utiliser un jet de pulvérisation d'eau pour protéger le personnel et pour refroidir les conteneurs en danger.</w:t>
      </w:r>
    </w:p>
    <w:p w14:paraId="000001F4">
      <w:r>
        <w:rPr>
          <w:rtl w:val="0"/>
        </w:rPr>
        <w:t>Recueillir les eaux d'extinction contaminées séparément. Ne pas laisser pénétrer dans les égouts ou les eaux de surface.</w:t>
      </w:r>
    </w:p>
    <w:p w14:paraId="000001F5"/>
    <w:tbl>
      <w:tblPr>
        <w:tblStyle w:val="11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160497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1F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1F7">
            <w:pPr>
              <w:jc w:val="center"/>
              <w:rPr>
                <w:b/>
                <w:sz w:val="16"/>
                <w:szCs w:val="16"/>
              </w:rPr>
            </w:pPr>
            <w:r>
              <w:rPr>
                <w:b/>
                <w:sz w:val="16"/>
                <w:szCs w:val="16"/>
                <w:rtl w:val="0"/>
              </w:rPr>
              <w:t>section</w:t>
            </w:r>
          </w:p>
        </w:tc>
        <w:tc>
          <w:tcPr>
            <w:shd w:val="clear" w:color="auto" w:fill="A8D8A7"/>
            <w:vAlign w:val="center"/>
          </w:tcPr>
          <w:p w14:paraId="000001F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6</w:t>
            </w:r>
          </w:p>
        </w:tc>
        <w:tc>
          <w:tcPr>
            <w:shd w:val="clear" w:color="auto" w:fill="A8D8A7"/>
            <w:vAlign w:val="center"/>
          </w:tcPr>
          <w:p w14:paraId="000001F9">
            <w:pPr>
              <w:pStyle w:val="2"/>
              <w:spacing w:line="240" w:lineRule="auto"/>
            </w:pPr>
            <w:r>
              <w:rPr>
                <w:rtl w:val="0"/>
              </w:rPr>
              <w:t>Mesures à prendre en cas de dispersion accidentelle</w:t>
            </w:r>
          </w:p>
        </w:tc>
        <w:tc>
          <w:tcPr>
            <w:shd w:val="clear" w:color="auto" w:fill="A8D8A7"/>
            <w:vAlign w:val="center"/>
          </w:tcPr>
          <w:p w14:paraId="000001F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1FB"/>
    <w:tbl>
      <w:tblPr>
        <w:tblStyle w:val="11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979E0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1FC"/>
        </w:tc>
        <w:tc>
          <w:p w14:paraId="000001FD">
            <w:pPr>
              <w:pStyle w:val="3"/>
              <w:spacing w:after="0" w:line="240" w:lineRule="auto"/>
              <w:rPr>
                <w:sz w:val="28"/>
                <w:szCs w:val="28"/>
              </w:rPr>
            </w:pPr>
            <w:r>
              <w:rPr>
                <w:rtl w:val="0"/>
              </w:rPr>
              <w:t>6.1</w:t>
            </w:r>
          </w:p>
        </w:tc>
        <w:tc>
          <w:p w14:paraId="000001FE">
            <w:pPr>
              <w:pStyle w:val="3"/>
              <w:spacing w:after="0" w:line="240" w:lineRule="auto"/>
            </w:pPr>
            <w:r>
              <w:rPr>
                <w:rtl w:val="0"/>
              </w:rPr>
              <w:t>Précautions individuelles, équipement de protection et procédures d’urgence</w:t>
            </w:r>
          </w:p>
        </w:tc>
      </w:tr>
      <w:tr w14:paraId="5E077EB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1FF"/>
        </w:tc>
        <w:tc>
          <w:p w14:paraId="00000200"/>
        </w:tc>
        <w:tc>
          <w:p w14:paraId="00000201">
            <w:r>
              <w:rPr>
                <w:sz w:val="12"/>
                <w:szCs w:val="12"/>
              </w:rPr>
              <w:drawing>
                <wp:inline distT="0" distB="0" distL="0" distR="0">
                  <wp:extent cx="405765" cy="37465"/>
                  <wp:effectExtent l="0" t="0" r="0" b="0"/>
                  <wp:docPr id="127" name="image1.jpg"/>
                  <wp:cNvGraphicFramePr/>
                  <a:graphic xmlns:a="http://schemas.openxmlformats.org/drawingml/2006/main">
                    <a:graphicData uri="http://schemas.openxmlformats.org/drawingml/2006/picture">
                      <pic:pic xmlns:pic="http://schemas.openxmlformats.org/drawingml/2006/picture">
                        <pic:nvPicPr>
                          <pic:cNvPr id="12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02">
      <w:r>
        <w:rPr>
          <w:rtl w:val="0"/>
        </w:rPr>
        <w:t>Utiliser un équipement de protection individuelle.</w:t>
      </w:r>
    </w:p>
    <w:p w14:paraId="00000203">
      <w:r>
        <w:rPr>
          <w:rtl w:val="0"/>
        </w:rPr>
        <w:t>Mettre les personnes en sécurité.</w:t>
      </w:r>
    </w:p>
    <w:p w14:paraId="00000204">
      <w:r>
        <w:rPr>
          <w:rtl w:val="0"/>
        </w:rPr>
        <w:t>Utiliser une protection respiratoire appropriée.</w:t>
      </w:r>
    </w:p>
    <w:p w14:paraId="00000205">
      <w:r>
        <w:rPr>
          <w:rtl w:val="0"/>
        </w:rPr>
        <w:t>Assurer une ventilation adéquate.</w:t>
      </w:r>
    </w:p>
    <w:tbl>
      <w:tblPr>
        <w:tblStyle w:val="11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CECCB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06"/>
        </w:tc>
        <w:tc>
          <w:p w14:paraId="00000207">
            <w:pPr>
              <w:pStyle w:val="3"/>
              <w:spacing w:after="0" w:line="240" w:lineRule="auto"/>
              <w:rPr>
                <w:sz w:val="28"/>
                <w:szCs w:val="28"/>
              </w:rPr>
            </w:pPr>
            <w:r>
              <w:rPr>
                <w:rtl w:val="0"/>
              </w:rPr>
              <w:t>6.2</w:t>
            </w:r>
          </w:p>
        </w:tc>
        <w:tc>
          <w:p w14:paraId="00000208">
            <w:pPr>
              <w:pStyle w:val="3"/>
              <w:spacing w:after="0" w:line="240" w:lineRule="auto"/>
            </w:pPr>
            <w:r>
              <w:rPr>
                <w:rtl w:val="0"/>
              </w:rPr>
              <w:t>Précautions pour la protection de l’environnement</w:t>
            </w:r>
          </w:p>
        </w:tc>
      </w:tr>
      <w:tr w14:paraId="33266B1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09"/>
        </w:tc>
        <w:tc>
          <w:p w14:paraId="0000020A"/>
        </w:tc>
        <w:tc>
          <w:p w14:paraId="0000020B">
            <w:r>
              <w:rPr>
                <w:sz w:val="12"/>
                <w:szCs w:val="12"/>
              </w:rPr>
              <w:drawing>
                <wp:inline distT="0" distB="0" distL="0" distR="0">
                  <wp:extent cx="405765" cy="37465"/>
                  <wp:effectExtent l="0" t="0" r="0" b="0"/>
                  <wp:docPr id="128" name="image1.jpg"/>
                  <wp:cNvGraphicFramePr/>
                  <a:graphic xmlns:a="http://schemas.openxmlformats.org/drawingml/2006/main">
                    <a:graphicData uri="http://schemas.openxmlformats.org/drawingml/2006/picture">
                      <pic:pic xmlns:pic="http://schemas.openxmlformats.org/drawingml/2006/picture">
                        <pic:nvPicPr>
                          <pic:cNvPr id="12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0C">
      <w:r>
        <w:rPr>
          <w:rtl w:val="0"/>
        </w:rPr>
        <w:t>S'assurer que les déchets soient collectés et contenus.</w:t>
      </w:r>
    </w:p>
    <w:p w14:paraId="0000020D">
      <w:r>
        <w:rPr>
          <w:rtl w:val="0"/>
        </w:rPr>
        <w:t>En cas de fuite de gaz ou d'entrée dans les voies d'eau, le sol ou les égouts, informer les autorités responsables.</w:t>
      </w:r>
    </w:p>
    <w:p w14:paraId="0000020E">
      <w:r>
        <w:rPr>
          <w:rtl w:val="0"/>
        </w:rPr>
        <w:t>Éviter le rejet dans l’environnement.</w:t>
      </w:r>
    </w:p>
    <w:p w14:paraId="0000020F">
      <w:r>
        <w:rPr>
          <w:rtl w:val="0"/>
        </w:rPr>
        <w:t>Couvrir les canalisations.</w:t>
      </w:r>
    </w:p>
    <w:p w14:paraId="00000210">
      <w:r>
        <w:rPr>
          <w:rtl w:val="0"/>
        </w:rPr>
        <w:t>Veiller à ce que toutes les eaux usées soient recueillies et traitées par une usine de traitement des eaux usées.</w:t>
      </w:r>
    </w:p>
    <w:p w14:paraId="00000211">
      <w:r>
        <w:rPr>
          <w:rtl w:val="0"/>
        </w:rPr>
        <w:t>Ne pas laisser pénétrer dans le sol/sous-sol.</w:t>
      </w:r>
    </w:p>
    <w:p w14:paraId="00000212">
      <w:r>
        <w:rPr>
          <w:rtl w:val="0"/>
        </w:rPr>
        <w:t>Ne pas laisser entrer dans les eaux de surface ou dans les égouts.</w:t>
      </w:r>
    </w:p>
    <w:p w14:paraId="00000213">
      <w:r>
        <w:rPr>
          <w:rtl w:val="0"/>
        </w:rPr>
        <w:t>Contenir l'eau de lavage contaminée et l'éliminer.</w:t>
      </w:r>
    </w:p>
    <w:p w14:paraId="00000214">
      <w:r>
        <w:rPr>
          <w:rtl w:val="0"/>
        </w:rPr>
        <w:t>Contenir les fuites ou déversements dans des armoires avec des plateaux amovibles.</w:t>
      </w:r>
    </w:p>
    <w:tbl>
      <w:tblPr>
        <w:tblStyle w:val="12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E1FB2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15"/>
        </w:tc>
        <w:tc>
          <w:p w14:paraId="00000216">
            <w:pPr>
              <w:pStyle w:val="3"/>
              <w:spacing w:after="0" w:line="240" w:lineRule="auto"/>
              <w:rPr>
                <w:sz w:val="28"/>
                <w:szCs w:val="28"/>
              </w:rPr>
            </w:pPr>
            <w:r>
              <w:rPr>
                <w:rtl w:val="0"/>
              </w:rPr>
              <w:t>6.3</w:t>
            </w:r>
          </w:p>
        </w:tc>
        <w:tc>
          <w:p w14:paraId="00000217">
            <w:pPr>
              <w:pStyle w:val="3"/>
              <w:spacing w:after="0" w:line="240" w:lineRule="auto"/>
            </w:pPr>
            <w:r>
              <w:rPr>
                <w:rtl w:val="0"/>
              </w:rPr>
              <w:t>Méthodes et matériel de confinement et de nettoyage</w:t>
            </w:r>
          </w:p>
        </w:tc>
      </w:tr>
      <w:tr w14:paraId="709AE1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18"/>
        </w:tc>
        <w:tc>
          <w:p w14:paraId="00000219"/>
        </w:tc>
        <w:tc>
          <w:p w14:paraId="0000021A">
            <w:r>
              <w:rPr>
                <w:sz w:val="12"/>
                <w:szCs w:val="12"/>
              </w:rPr>
              <w:drawing>
                <wp:inline distT="0" distB="0" distL="0" distR="0">
                  <wp:extent cx="405765" cy="37465"/>
                  <wp:effectExtent l="0" t="0" r="0" b="0"/>
                  <wp:docPr id="129" name="image1.jpg"/>
                  <wp:cNvGraphicFramePr/>
                  <a:graphic xmlns:a="http://schemas.openxmlformats.org/drawingml/2006/main">
                    <a:graphicData uri="http://schemas.openxmlformats.org/drawingml/2006/picture">
                      <pic:pic xmlns:pic="http://schemas.openxmlformats.org/drawingml/2006/picture">
                        <pic:nvPicPr>
                          <pic:cNvPr id="12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1B">
      <w:r>
        <w:rPr>
          <w:rtl w:val="0"/>
        </w:rPr>
        <w:t>Traiter le matériau recueilli conformément à la section sur l'élimination des déchets.</w:t>
      </w:r>
    </w:p>
    <w:p w14:paraId="0000021C">
      <w:r>
        <w:rPr>
          <w:rtl w:val="0"/>
        </w:rPr>
        <w:t>Recueillir dans des conteneurs fermés et appropriés pour l'élimination.</w:t>
      </w:r>
    </w:p>
    <w:p w14:paraId="0000021D">
      <w:r>
        <w:rPr>
          <w:rtl w:val="0"/>
        </w:rPr>
        <w:t>Nettoyer soigneusement les zones et objets contaminés en respectant les réglementations environnementales.</w:t>
      </w:r>
    </w:p>
    <w:p w14:paraId="0000021E">
      <w:r>
        <w:rPr>
          <w:rtl w:val="0"/>
        </w:rPr>
        <w:t>Absorber avec une substance liant les liquides (ex: sable, terre de diatomées, liant d'acides, liant universel).</w:t>
      </w:r>
    </w:p>
    <w:p w14:paraId="0000021F">
      <w:r>
        <w:rPr>
          <w:rtl w:val="0"/>
        </w:rPr>
        <w:t>Essuyer avec une matière absorbante (en tissu, par exemple, laine).</w:t>
      </w:r>
    </w:p>
    <w:tbl>
      <w:tblPr>
        <w:tblStyle w:val="12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0A714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20"/>
        </w:tc>
        <w:tc>
          <w:p w14:paraId="00000221">
            <w:pPr>
              <w:pStyle w:val="3"/>
              <w:spacing w:after="0" w:line="240" w:lineRule="auto"/>
              <w:rPr>
                <w:sz w:val="28"/>
                <w:szCs w:val="28"/>
              </w:rPr>
            </w:pPr>
            <w:r>
              <w:rPr>
                <w:rtl w:val="0"/>
              </w:rPr>
              <w:t>6.4</w:t>
            </w:r>
          </w:p>
        </w:tc>
        <w:tc>
          <w:p w14:paraId="00000222">
            <w:pPr>
              <w:pStyle w:val="3"/>
              <w:spacing w:after="0" w:line="240" w:lineRule="auto"/>
            </w:pPr>
            <w:r>
              <w:rPr>
                <w:rtl w:val="0"/>
              </w:rPr>
              <w:t>Référence à d'autres sections</w:t>
            </w:r>
          </w:p>
        </w:tc>
      </w:tr>
      <w:tr w14:paraId="11D9FBC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23"/>
        </w:tc>
        <w:tc>
          <w:p w14:paraId="00000224"/>
        </w:tc>
        <w:tc>
          <w:p w14:paraId="00000225">
            <w:r>
              <w:rPr>
                <w:sz w:val="12"/>
                <w:szCs w:val="12"/>
              </w:rPr>
              <w:drawing>
                <wp:inline distT="0" distB="0" distL="0" distR="0">
                  <wp:extent cx="405765" cy="37465"/>
                  <wp:effectExtent l="0" t="0" r="0" b="0"/>
                  <wp:docPr id="100" name="image1.jpg"/>
                  <wp:cNvGraphicFramePr/>
                  <a:graphic xmlns:a="http://schemas.openxmlformats.org/drawingml/2006/main">
                    <a:graphicData uri="http://schemas.openxmlformats.org/drawingml/2006/picture">
                      <pic:pic xmlns:pic="http://schemas.openxmlformats.org/drawingml/2006/picture">
                        <pic:nvPicPr>
                          <pic:cNvPr id="10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26">
      <w:r>
        <w:rPr>
          <w:rtl w:val="0"/>
        </w:rPr>
        <w:t>Manipulation sécuritaire : voir la section 7.</w:t>
      </w:r>
    </w:p>
    <w:p w14:paraId="00000227">
      <w:r>
        <w:rPr>
          <w:rtl w:val="0"/>
        </w:rPr>
        <w:t>Elimination des déchets : voir la section 13.</w:t>
      </w:r>
    </w:p>
    <w:p w14:paraId="00000228">
      <w:r>
        <w:rPr>
          <w:rtl w:val="0"/>
        </w:rPr>
        <w:t>Equipements de protection individuelle : voir la section 8.</w:t>
      </w:r>
    </w:p>
    <w:tbl>
      <w:tblPr>
        <w:tblStyle w:val="12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AB0C0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29"/>
        </w:tc>
        <w:tc>
          <w:p w14:paraId="0000022A">
            <w:pPr>
              <w:pStyle w:val="3"/>
              <w:spacing w:after="0" w:line="240" w:lineRule="auto"/>
              <w:rPr>
                <w:sz w:val="28"/>
                <w:szCs w:val="28"/>
              </w:rPr>
            </w:pPr>
            <w:r>
              <w:rPr>
                <w:rtl w:val="0"/>
              </w:rPr>
              <w:t>6.5</w:t>
            </w:r>
          </w:p>
        </w:tc>
        <w:tc>
          <w:p w14:paraId="0000022B">
            <w:pPr>
              <w:pStyle w:val="3"/>
              <w:spacing w:after="0" w:line="240" w:lineRule="auto"/>
            </w:pPr>
            <w:r>
              <w:rPr>
                <w:rtl w:val="0"/>
              </w:rPr>
              <w:t>Informations complémentaires</w:t>
            </w:r>
          </w:p>
        </w:tc>
      </w:tr>
      <w:tr w14:paraId="22999B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2C"/>
        </w:tc>
        <w:tc>
          <w:p w14:paraId="0000022D"/>
        </w:tc>
        <w:tc>
          <w:p w14:paraId="0000022E">
            <w:r>
              <w:rPr>
                <w:sz w:val="12"/>
                <w:szCs w:val="12"/>
              </w:rPr>
              <w:drawing>
                <wp:inline distT="0" distB="0" distL="0" distR="0">
                  <wp:extent cx="405765" cy="37465"/>
                  <wp:effectExtent l="0" t="0" r="0" b="0"/>
                  <wp:docPr id="101" name="image1.jpg"/>
                  <wp:cNvGraphicFramePr/>
                  <a:graphic xmlns:a="http://schemas.openxmlformats.org/drawingml/2006/main">
                    <a:graphicData uri="http://schemas.openxmlformats.org/drawingml/2006/picture">
                      <pic:pic xmlns:pic="http://schemas.openxmlformats.org/drawingml/2006/picture">
                        <pic:nvPicPr>
                          <pic:cNvPr id="10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2F">
      <w:r>
        <w:rPr>
          <w:rtl w:val="0"/>
        </w:rPr>
        <w:t>Pas de données disponibles</w:t>
      </w:r>
    </w:p>
    <w:tbl>
      <w:tblPr>
        <w:tblStyle w:val="12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77B6793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23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231">
            <w:pPr>
              <w:jc w:val="center"/>
              <w:rPr>
                <w:b/>
                <w:sz w:val="16"/>
                <w:szCs w:val="16"/>
              </w:rPr>
            </w:pPr>
            <w:r>
              <w:rPr>
                <w:b/>
                <w:sz w:val="16"/>
                <w:szCs w:val="16"/>
                <w:rtl w:val="0"/>
              </w:rPr>
              <w:t>section</w:t>
            </w:r>
          </w:p>
        </w:tc>
        <w:tc>
          <w:tcPr>
            <w:shd w:val="clear" w:color="auto" w:fill="A8D8A7"/>
            <w:vAlign w:val="center"/>
          </w:tcPr>
          <w:p w14:paraId="0000023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7</w:t>
            </w:r>
          </w:p>
        </w:tc>
        <w:tc>
          <w:tcPr>
            <w:shd w:val="clear" w:color="auto" w:fill="A8D8A7"/>
            <w:vAlign w:val="center"/>
          </w:tcPr>
          <w:p w14:paraId="00000233">
            <w:pPr>
              <w:pStyle w:val="2"/>
              <w:spacing w:line="240" w:lineRule="auto"/>
            </w:pPr>
            <w:r>
              <w:rPr>
                <w:rtl w:val="0"/>
              </w:rPr>
              <w:t>Manipulation et stockage</w:t>
            </w:r>
          </w:p>
        </w:tc>
        <w:tc>
          <w:tcPr>
            <w:shd w:val="clear" w:color="auto" w:fill="A8D8A7"/>
            <w:vAlign w:val="center"/>
          </w:tcPr>
          <w:p w14:paraId="0000023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235"/>
    <w:tbl>
      <w:tblPr>
        <w:tblStyle w:val="12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61960F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36"/>
        </w:tc>
        <w:tc>
          <w:p w14:paraId="00000237">
            <w:pPr>
              <w:pStyle w:val="3"/>
              <w:spacing w:after="0" w:line="240" w:lineRule="auto"/>
              <w:rPr>
                <w:sz w:val="28"/>
                <w:szCs w:val="28"/>
              </w:rPr>
            </w:pPr>
            <w:r>
              <w:rPr>
                <w:rtl w:val="0"/>
              </w:rPr>
              <w:t>7.1</w:t>
            </w:r>
          </w:p>
        </w:tc>
        <w:tc>
          <w:p w14:paraId="00000238">
            <w:pPr>
              <w:pStyle w:val="3"/>
              <w:spacing w:after="0" w:line="240" w:lineRule="auto"/>
            </w:pPr>
            <w:r>
              <w:rPr>
                <w:rtl w:val="0"/>
              </w:rPr>
              <w:t>Précautions à prendre pour une manipulation sans danger</w:t>
            </w:r>
          </w:p>
        </w:tc>
      </w:tr>
      <w:tr w14:paraId="0A3C84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39"/>
        </w:tc>
        <w:tc>
          <w:p w14:paraId="0000023A"/>
        </w:tc>
        <w:tc>
          <w:p w14:paraId="0000023B">
            <w:r>
              <w:rPr>
                <w:sz w:val="12"/>
                <w:szCs w:val="12"/>
              </w:rPr>
              <w:drawing>
                <wp:inline distT="0" distB="0" distL="0" distR="0">
                  <wp:extent cx="405765" cy="37465"/>
                  <wp:effectExtent l="0" t="0" r="0" b="0"/>
                  <wp:docPr id="102" name="image1.jpg"/>
                  <wp:cNvGraphicFramePr/>
                  <a:graphic xmlns:a="http://schemas.openxmlformats.org/drawingml/2006/main">
                    <a:graphicData uri="http://schemas.openxmlformats.org/drawingml/2006/picture">
                      <pic:pic xmlns:pic="http://schemas.openxmlformats.org/drawingml/2006/picture">
                        <pic:nvPicPr>
                          <pic:cNvPr id="10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3C">
      <w:pPr>
        <w:pStyle w:val="4"/>
      </w:pPr>
      <w:r>
        <w:rPr>
          <w:b/>
          <w:color w:val="000000"/>
          <w:rtl w:val="0"/>
        </w:rPr>
        <w:t>Mesures de protection</w:t>
      </w:r>
      <w:r>
        <w:rPr>
          <w:rtl w:val="0"/>
        </w:rPr>
        <w:t xml:space="preserve"> : </w:t>
      </w:r>
    </w:p>
    <w:p w14:paraId="0000023D">
      <w:r>
        <w:rPr>
          <w:rtl w:val="0"/>
        </w:rPr>
        <w:t>Eviter le contact avec la peau, les yeux et les vêtements.</w:t>
      </w:r>
    </w:p>
    <w:p w14:paraId="0000023E">
      <w:r>
        <w:rPr>
          <w:rtl w:val="0"/>
        </w:rPr>
        <w:t>Porter des vêtements de protection individuelle (voir la section 8).</w:t>
      </w:r>
    </w:p>
    <w:p w14:paraId="0000023F">
      <w:r>
        <w:rPr>
          <w:rtl w:val="0"/>
        </w:rPr>
        <w:t>Les égouts et les conduits doivent être protégés contre l'entrée du produit.</w:t>
      </w:r>
    </w:p>
    <w:p w14:paraId="00000240">
      <w:r>
        <w:rPr>
          <w:rtl w:val="0"/>
        </w:rPr>
        <w:t>Ne mettez pas de chiffons imprégnés de produits dans vos poches de pantalon.</w:t>
      </w:r>
    </w:p>
    <w:p w14:paraId="00000241">
      <w:r>
        <w:rPr>
          <w:rtl w:val="0"/>
        </w:rPr>
        <w:t>Prévoir des conteneurs de rétention, par exemple, un plancher sans écoulement.</w:t>
      </w:r>
    </w:p>
    <w:p w14:paraId="00000242">
      <w:r>
        <w:rPr>
          <w:rtl w:val="0"/>
        </w:rPr>
        <w:t>Utiliser seulement dans des zones bien ventilées.</w:t>
      </w:r>
    </w:p>
    <w:p w14:paraId="00000243">
      <w:r>
        <w:rPr>
          <w:rtl w:val="0"/>
        </w:rPr>
        <w:t>Si la ventilation locale par aspiration n'est pas possible ou ne suffit pas, l'ensemble de la zone de travail doit être ventilé par des moyens techniques.</w:t>
      </w:r>
    </w:p>
    <w:p w14:paraId="00000244">
      <w:r>
        <w:rPr>
          <w:rtl w:val="0"/>
        </w:rPr>
        <w:t>Assurer une ventilation adéquate ainsi qu'une aspiration locale aux endroits critiques.</w:t>
      </w:r>
    </w:p>
    <w:p w14:paraId="00000245">
      <w:r>
        <w:rPr>
          <w:rtl w:val="0"/>
        </w:rPr>
        <w:t>Les vapeurs/aérosols doivent être contenus directement au point d'origine.</w:t>
      </w:r>
    </w:p>
    <w:p w14:paraId="00000246">
      <w:r>
        <w:rPr>
          <w:rtl w:val="0"/>
        </w:rPr>
        <w:t>Éviter de respirer les gaz/brouillards/vapeurs/aérosols.</w:t>
      </w:r>
    </w:p>
    <w:p w14:paraId="00000247">
      <w:pPr>
        <w:pStyle w:val="4"/>
      </w:pPr>
      <w:r>
        <w:rPr>
          <w:b/>
          <w:color w:val="000000"/>
          <w:rtl w:val="0"/>
        </w:rPr>
        <w:t>Conseils sur l'hygiène professionnelle en général</w:t>
      </w:r>
      <w:r>
        <w:rPr>
          <w:rtl w:val="0"/>
        </w:rPr>
        <w:t xml:space="preserve"> : </w:t>
      </w:r>
    </w:p>
    <w:p w14:paraId="00000248">
      <w:r>
        <w:rPr>
          <w:rtl w:val="0"/>
        </w:rPr>
        <w:t>Se laver les mains avant les pauses et après le travail.</w:t>
      </w:r>
    </w:p>
    <w:p w14:paraId="00000249">
      <w:r>
        <w:rPr>
          <w:rtl w:val="0"/>
        </w:rPr>
        <w:t>Les vêtements de ville doivent être rangés séparément des vêtements de travail.</w:t>
      </w:r>
    </w:p>
    <w:p w14:paraId="0000024A">
      <w:r>
        <w:rPr>
          <w:rtl w:val="0"/>
        </w:rPr>
        <w:t>Laver les vêtements contaminés avant réutilisation.</w:t>
      </w:r>
    </w:p>
    <w:p w14:paraId="0000024B">
      <w:r>
        <w:rPr>
          <w:rtl w:val="0"/>
        </w:rPr>
        <w:t>Enlever immédiatement les vêtements contaminés et trempés.</w:t>
      </w:r>
    </w:p>
    <w:p w14:paraId="0000024C">
      <w:r>
        <w:rPr>
          <w:rtl w:val="0"/>
        </w:rPr>
        <w:t>Travailler dans des zones bien ventilées ou utiliser une protection respiratoire appropriée.</w:t>
      </w:r>
    </w:p>
    <w:tbl>
      <w:tblPr>
        <w:tblStyle w:val="12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9A421C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4D"/>
        </w:tc>
        <w:tc>
          <w:p w14:paraId="0000024E">
            <w:pPr>
              <w:pStyle w:val="3"/>
              <w:spacing w:after="0" w:line="240" w:lineRule="auto"/>
              <w:rPr>
                <w:sz w:val="28"/>
                <w:szCs w:val="28"/>
              </w:rPr>
            </w:pPr>
            <w:r>
              <w:rPr>
                <w:rtl w:val="0"/>
              </w:rPr>
              <w:t>7.2</w:t>
            </w:r>
          </w:p>
        </w:tc>
        <w:tc>
          <w:p w14:paraId="0000024F">
            <w:pPr>
              <w:pStyle w:val="3"/>
              <w:spacing w:after="0" w:line="240" w:lineRule="auto"/>
            </w:pPr>
            <w:r>
              <w:rPr>
                <w:rtl w:val="0"/>
              </w:rPr>
              <w:t>Conditions d’un stockage sûr, y compris les éventuelles incompatibilités</w:t>
            </w:r>
          </w:p>
        </w:tc>
      </w:tr>
      <w:tr w14:paraId="78F63A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50"/>
        </w:tc>
        <w:tc>
          <w:p w14:paraId="00000251"/>
        </w:tc>
        <w:tc>
          <w:p w14:paraId="00000252">
            <w:r>
              <w:rPr>
                <w:sz w:val="12"/>
                <w:szCs w:val="12"/>
              </w:rPr>
              <w:drawing>
                <wp:inline distT="0" distB="0" distL="0" distR="0">
                  <wp:extent cx="405765" cy="37465"/>
                  <wp:effectExtent l="0" t="0" r="0" b="0"/>
                  <wp:docPr id="103" name="image1.jpg"/>
                  <wp:cNvGraphicFramePr/>
                  <a:graphic xmlns:a="http://schemas.openxmlformats.org/drawingml/2006/main">
                    <a:graphicData uri="http://schemas.openxmlformats.org/drawingml/2006/picture">
                      <pic:pic xmlns:pic="http://schemas.openxmlformats.org/drawingml/2006/picture">
                        <pic:nvPicPr>
                          <pic:cNvPr id="10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53">
      <w:r>
        <w:rPr>
          <w:rtl w:val="0"/>
        </w:rPr>
        <w:t>Garder le récipient bien fermé dans un endroit sec, frais et bien ventilé.</w:t>
      </w:r>
    </w:p>
    <w:p w14:paraId="00000254">
      <w:r>
        <w:rPr>
          <w:rtl w:val="0"/>
        </w:rPr>
        <w:t>Maintenir le récipient en position verticale afin d'éviter les fuites.</w:t>
      </w:r>
    </w:p>
    <w:p w14:paraId="00000255">
      <w:pPr>
        <w:pStyle w:val="4"/>
      </w:pPr>
      <w:r>
        <w:rPr>
          <w:b/>
          <w:color w:val="000000"/>
          <w:rtl w:val="0"/>
        </w:rPr>
        <w:t>Exigences concernant les lieux et conteneurs de stockage</w:t>
      </w:r>
      <w:r>
        <w:rPr>
          <w:rtl w:val="0"/>
        </w:rPr>
        <w:t xml:space="preserve"> : </w:t>
      </w:r>
    </w:p>
    <w:p w14:paraId="00000256">
      <w:r>
        <w:rPr>
          <w:rtl w:val="0"/>
        </w:rPr>
        <w:t>Utiliser un drainage isolé pour empêcher un déversement sur le sol.</w:t>
      </w:r>
    </w:p>
    <w:p w14:paraId="00000257">
      <w:r>
        <w:rPr>
          <w:rtl w:val="0"/>
        </w:rPr>
        <w:t>Assurer une ventilation adéquate de la zone de stockage.</w:t>
      </w:r>
    </w:p>
    <w:p w14:paraId="00000258">
      <w:pPr>
        <w:pStyle w:val="4"/>
      </w:pPr>
      <w:r>
        <w:rPr>
          <w:b/>
          <w:color w:val="000000"/>
          <w:rtl w:val="0"/>
        </w:rPr>
        <w:t>Précautions pour le stockage en commun</w:t>
      </w:r>
      <w:r>
        <w:rPr>
          <w:rtl w:val="0"/>
        </w:rPr>
        <w:t xml:space="preserve"> : </w:t>
      </w:r>
    </w:p>
    <w:p w14:paraId="00000259">
      <w:r>
        <w:rPr>
          <w:rtl w:val="0"/>
        </w:rPr>
        <w:t>Tenir à l'écart de produits alimentaires, de boissons et de nourriture pour animaux.</w:t>
      </w:r>
    </w:p>
    <w:tbl>
      <w:tblPr>
        <w:tblStyle w:val="12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272CB2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5A"/>
        </w:tc>
        <w:tc>
          <w:p w14:paraId="0000025B">
            <w:pPr>
              <w:pStyle w:val="3"/>
              <w:spacing w:after="0" w:line="240" w:lineRule="auto"/>
              <w:rPr>
                <w:sz w:val="28"/>
                <w:szCs w:val="28"/>
              </w:rPr>
            </w:pPr>
            <w:r>
              <w:rPr>
                <w:rtl w:val="0"/>
              </w:rPr>
              <w:t>7.3</w:t>
            </w:r>
          </w:p>
        </w:tc>
        <w:tc>
          <w:p w14:paraId="0000025C">
            <w:pPr>
              <w:pStyle w:val="3"/>
              <w:spacing w:after="0" w:line="240" w:lineRule="auto"/>
            </w:pPr>
            <w:r>
              <w:rPr>
                <w:rtl w:val="0"/>
              </w:rPr>
              <w:t>Utilisation(s) finale(s) particulière(s)</w:t>
            </w:r>
          </w:p>
        </w:tc>
      </w:tr>
      <w:tr w14:paraId="23898C3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5D"/>
        </w:tc>
        <w:tc>
          <w:p w14:paraId="0000025E"/>
        </w:tc>
        <w:tc>
          <w:p w14:paraId="0000025F">
            <w:r>
              <w:rPr>
                <w:sz w:val="12"/>
                <w:szCs w:val="12"/>
              </w:rPr>
              <w:drawing>
                <wp:inline distT="0" distB="0" distL="0" distR="0">
                  <wp:extent cx="405765" cy="37465"/>
                  <wp:effectExtent l="0" t="0" r="0" b="0"/>
                  <wp:docPr id="104" name="image1.jpg"/>
                  <wp:cNvGraphicFramePr/>
                  <a:graphic xmlns:a="http://schemas.openxmlformats.org/drawingml/2006/main">
                    <a:graphicData uri="http://schemas.openxmlformats.org/drawingml/2006/picture">
                      <pic:pic xmlns:pic="http://schemas.openxmlformats.org/drawingml/2006/picture">
                        <pic:nvPicPr>
                          <pic:cNvPr id="10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60">
      <w:r>
        <w:rPr>
          <w:rtl w:val="0"/>
        </w:rPr>
        <w:t>Outre les utilisations mentionnées à la section 1.2, aucune autre utilisation spécifique n'est stipulée.</w:t>
      </w:r>
    </w:p>
    <w:tbl>
      <w:tblPr>
        <w:tblStyle w:val="12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62F32AE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2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262">
            <w:pPr>
              <w:jc w:val="center"/>
              <w:rPr>
                <w:b/>
                <w:sz w:val="16"/>
                <w:szCs w:val="16"/>
              </w:rPr>
            </w:pPr>
            <w:r>
              <w:rPr>
                <w:b/>
                <w:sz w:val="16"/>
                <w:szCs w:val="16"/>
                <w:rtl w:val="0"/>
              </w:rPr>
              <w:t>section</w:t>
            </w:r>
          </w:p>
        </w:tc>
        <w:tc>
          <w:tcPr>
            <w:shd w:val="clear" w:color="auto" w:fill="A8D8A7"/>
            <w:vAlign w:val="center"/>
          </w:tcPr>
          <w:p w14:paraId="000002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8</w:t>
            </w:r>
          </w:p>
        </w:tc>
        <w:tc>
          <w:tcPr>
            <w:shd w:val="clear" w:color="auto" w:fill="A8D8A7"/>
            <w:vAlign w:val="center"/>
          </w:tcPr>
          <w:p w14:paraId="00000264">
            <w:pPr>
              <w:pStyle w:val="2"/>
              <w:spacing w:line="240" w:lineRule="auto"/>
            </w:pPr>
            <w:r>
              <w:rPr>
                <w:rtl w:val="0"/>
              </w:rPr>
              <w:t>Contrôles de l’exposition/Protection individuelle</w:t>
            </w:r>
          </w:p>
        </w:tc>
        <w:tc>
          <w:tcPr>
            <w:shd w:val="clear" w:color="auto" w:fill="A8D8A7"/>
            <w:vAlign w:val="center"/>
          </w:tcPr>
          <w:p w14:paraId="0000026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266"/>
    <w:tbl>
      <w:tblPr>
        <w:tblStyle w:val="12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F96EE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67"/>
        </w:tc>
        <w:tc>
          <w:p w14:paraId="00000268">
            <w:pPr>
              <w:pStyle w:val="3"/>
              <w:spacing w:after="0" w:line="240" w:lineRule="auto"/>
              <w:rPr>
                <w:sz w:val="28"/>
                <w:szCs w:val="28"/>
              </w:rPr>
            </w:pPr>
            <w:r>
              <w:rPr>
                <w:rtl w:val="0"/>
              </w:rPr>
              <w:t>8.1</w:t>
            </w:r>
          </w:p>
        </w:tc>
        <w:tc>
          <w:p w14:paraId="00000269">
            <w:pPr>
              <w:pStyle w:val="3"/>
              <w:spacing w:after="0" w:line="240" w:lineRule="auto"/>
            </w:pPr>
            <w:r>
              <w:rPr>
                <w:rtl w:val="0"/>
              </w:rPr>
              <w:t>Paramètres de contrôle</w:t>
            </w:r>
          </w:p>
        </w:tc>
      </w:tr>
      <w:tr w14:paraId="7BD2D8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6A"/>
        </w:tc>
        <w:tc>
          <w:p w14:paraId="0000026B"/>
        </w:tc>
        <w:tc>
          <w:p w14:paraId="0000026C">
            <w:r>
              <w:rPr>
                <w:sz w:val="12"/>
                <w:szCs w:val="12"/>
              </w:rPr>
              <w:drawing>
                <wp:inline distT="0" distB="0" distL="0" distR="0">
                  <wp:extent cx="405765" cy="37465"/>
                  <wp:effectExtent l="0" t="0" r="0" b="0"/>
                  <wp:docPr id="105" name="image1.jpg"/>
                  <wp:cNvGraphicFramePr/>
                  <a:graphic xmlns:a="http://schemas.openxmlformats.org/drawingml/2006/main">
                    <a:graphicData uri="http://schemas.openxmlformats.org/drawingml/2006/picture">
                      <pic:pic xmlns:pic="http://schemas.openxmlformats.org/drawingml/2006/picture">
                        <pic:nvPicPr>
                          <pic:cNvPr id="10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6D">
      <w:pPr>
        <w:pStyle w:val="4"/>
      </w:pPr>
      <w:r>
        <w:rPr>
          <w:b/>
          <w:color w:val="000000"/>
          <w:rtl w:val="0"/>
        </w:rPr>
        <w:t>Limites d'exposition professionnelle</w:t>
      </w:r>
      <w:r>
        <w:rPr>
          <w:rtl w:val="0"/>
        </w:rPr>
        <w:t xml:space="preserve"> : </w:t>
      </w:r>
    </w:p>
    <w:tbl>
      <w:tblPr>
        <w:tblStyle w:val="129"/>
        <w:tblpPr w:leftFromText="141" w:rightFromText="141" w:vertAnchor="text" w:tblpXSpec="left" w:tblpY="1"/>
        <w:tblW w:w="9922"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108" w:type="dxa"/>
          <w:bottom w:w="0" w:type="dxa"/>
          <w:right w:w="108" w:type="dxa"/>
        </w:tblCellMar>
      </w:tblPr>
      <w:tblGrid>
        <w:gridCol w:w="2835"/>
        <w:gridCol w:w="1701"/>
        <w:gridCol w:w="1701"/>
        <w:gridCol w:w="3685"/>
      </w:tblGrid>
      <w:tr w14:paraId="1504D992">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tcPr>
            <w:tcBorders>
              <w:top w:val="nil"/>
              <w:left w:val="single" w:color="A8D8A7" w:sz="24" w:space="0"/>
              <w:bottom w:val="nil"/>
              <w:right w:val="single" w:color="A8D8A7" w:sz="24" w:space="0"/>
            </w:tcBorders>
            <w:shd w:val="clear" w:color="auto" w:fill="F2F2F2"/>
            <w:vAlign w:val="center"/>
          </w:tcPr>
          <w:p w14:paraId="0000026E">
            <w:pPr>
              <w:spacing w:before="120" w:after="120"/>
              <w:jc w:val="center"/>
              <w:rPr>
                <w:b/>
              </w:rPr>
            </w:pPr>
            <w:r>
              <w:rPr>
                <w:b/>
                <w:rtl w:val="0"/>
              </w:rPr>
              <w:t>Substance</w:t>
            </w:r>
          </w:p>
        </w:tc>
        <w:tc>
          <w:tcPr>
            <w:tcBorders>
              <w:top w:val="nil"/>
              <w:left w:val="single" w:color="A8D8A7" w:sz="24" w:space="0"/>
              <w:bottom w:val="nil"/>
              <w:right w:val="single" w:color="A8D8A7" w:sz="24" w:space="0"/>
            </w:tcBorders>
            <w:shd w:val="clear" w:color="auto" w:fill="F2F2F2"/>
            <w:vAlign w:val="center"/>
          </w:tcPr>
          <w:p w14:paraId="0000026F">
            <w:pPr>
              <w:spacing w:before="120" w:after="120"/>
              <w:jc w:val="center"/>
              <w:rPr>
                <w:b/>
              </w:rPr>
            </w:pPr>
            <w:r>
              <w:rPr>
                <w:b/>
                <w:rtl w:val="0"/>
              </w:rPr>
              <w:t>Valeur</w:t>
            </w:r>
          </w:p>
        </w:tc>
        <w:tc>
          <w:tcPr>
            <w:tcBorders>
              <w:top w:val="nil"/>
              <w:left w:val="single" w:color="A8D8A7" w:sz="24" w:space="0"/>
              <w:bottom w:val="nil"/>
              <w:right w:val="single" w:color="A8D8A7" w:sz="24" w:space="0"/>
            </w:tcBorders>
            <w:shd w:val="clear" w:color="auto" w:fill="F2F2F2"/>
            <w:vAlign w:val="center"/>
          </w:tcPr>
          <w:p w14:paraId="00000270">
            <w:pPr>
              <w:spacing w:before="120" w:after="120"/>
              <w:jc w:val="center"/>
              <w:rPr>
                <w:b/>
              </w:rPr>
            </w:pPr>
            <w:r>
              <w:rPr>
                <w:b/>
                <w:rtl w:val="0"/>
              </w:rPr>
              <w:t>Unité</w:t>
            </w:r>
          </w:p>
        </w:tc>
        <w:tc>
          <w:tcPr>
            <w:tcBorders>
              <w:top w:val="nil"/>
              <w:left w:val="single" w:color="A8D8A7" w:sz="24" w:space="0"/>
              <w:bottom w:val="nil"/>
              <w:right w:val="single" w:color="A8D8A7" w:sz="24" w:space="0"/>
            </w:tcBorders>
            <w:shd w:val="clear" w:color="auto" w:fill="F2F2F2"/>
            <w:vAlign w:val="center"/>
          </w:tcPr>
          <w:p w14:paraId="00000271">
            <w:pPr>
              <w:spacing w:before="120" w:after="120"/>
              <w:jc w:val="center"/>
              <w:rPr>
                <w:b/>
              </w:rPr>
            </w:pPr>
            <w:r>
              <w:rPr>
                <w:b/>
                <w:rtl w:val="0"/>
              </w:rPr>
              <w:t>Type</w:t>
            </w:r>
          </w:p>
        </w:tc>
      </w:tr>
    </w:tbl>
    <w:p w14:paraId="00000272">
      <w:r>
        <w:rPr>
          <w:rtl w:val="0"/>
        </w:rPr>
        <w:t>Aucune donnée disponible.</w:t>
      </w:r>
    </w:p>
    <w:p w14:paraId="00000273">
      <w:pPr>
        <w:pStyle w:val="4"/>
      </w:pPr>
      <w:r>
        <w:rPr>
          <w:b/>
          <w:color w:val="000000"/>
          <w:rtl w:val="0"/>
        </w:rPr>
        <w:t>Valeurs limites biologiques</w:t>
      </w:r>
      <w:r>
        <w:rPr>
          <w:rtl w:val="0"/>
        </w:rPr>
        <w:t xml:space="preserve"> : </w:t>
      </w:r>
    </w:p>
    <w:p w14:paraId="00000274">
      <w:r>
        <w:rPr>
          <w:rtl w:val="0"/>
        </w:rPr>
        <w:t>Pas de données disponibles</w:t>
      </w:r>
    </w:p>
    <w:p w14:paraId="00000275">
      <w:pPr>
        <w:pStyle w:val="4"/>
      </w:pPr>
      <w:r>
        <w:rPr>
          <w:b/>
          <w:color w:val="000000"/>
          <w:rtl w:val="0"/>
        </w:rPr>
        <w:t>Limites d'exposition en utilisation prévue</w:t>
      </w:r>
      <w:r>
        <w:rPr>
          <w:rtl w:val="0"/>
        </w:rPr>
        <w:t xml:space="preserve"> : </w:t>
      </w:r>
    </w:p>
    <w:p w14:paraId="00000276">
      <w:r>
        <w:rPr>
          <w:rtl w:val="0"/>
        </w:rPr>
        <w:t>Pas de données disponibles</w:t>
      </w:r>
    </w:p>
    <w:p w14:paraId="00000277"/>
    <w:p w14:paraId="00000278">
      <w:pPr>
        <w:pStyle w:val="4"/>
      </w:pPr>
      <w:r>
        <w:rPr>
          <w:b/>
          <w:color w:val="000000"/>
          <w:rtl w:val="0"/>
        </w:rPr>
        <w:t>Remarque</w:t>
      </w:r>
      <w:r>
        <w:rPr>
          <w:rtl w:val="0"/>
        </w:rPr>
        <w:t xml:space="preserve"> : </w:t>
      </w:r>
    </w:p>
    <w:p w14:paraId="00000279">
      <w:r>
        <w:rPr>
          <w:rtl w:val="0"/>
        </w:rPr>
        <w:t>Pas de données disponibles</w:t>
      </w:r>
    </w:p>
    <w:tbl>
      <w:tblPr>
        <w:tblStyle w:val="13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5B1E31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7A"/>
        </w:tc>
        <w:tc>
          <w:p w14:paraId="0000027B">
            <w:pPr>
              <w:pStyle w:val="3"/>
              <w:spacing w:after="0" w:line="240" w:lineRule="auto"/>
              <w:rPr>
                <w:sz w:val="28"/>
                <w:szCs w:val="28"/>
              </w:rPr>
            </w:pPr>
            <w:r>
              <w:rPr>
                <w:rtl w:val="0"/>
              </w:rPr>
              <w:t>8.2</w:t>
            </w:r>
          </w:p>
        </w:tc>
        <w:tc>
          <w:p w14:paraId="0000027C">
            <w:pPr>
              <w:pStyle w:val="3"/>
              <w:spacing w:after="0" w:line="240" w:lineRule="auto"/>
            </w:pPr>
            <w:r>
              <w:rPr>
                <w:rtl w:val="0"/>
              </w:rPr>
              <w:t>Contrôles de l’exposition</w:t>
            </w:r>
          </w:p>
        </w:tc>
      </w:tr>
      <w:tr w14:paraId="1051E1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7D"/>
        </w:tc>
        <w:tc>
          <w:p w14:paraId="0000027E"/>
        </w:tc>
        <w:tc>
          <w:p w14:paraId="0000027F">
            <w:r>
              <w:rPr>
                <w:sz w:val="12"/>
                <w:szCs w:val="12"/>
              </w:rPr>
              <w:drawing>
                <wp:inline distT="0" distB="0" distL="0" distR="0">
                  <wp:extent cx="405765" cy="37465"/>
                  <wp:effectExtent l="0" t="0" r="0" b="0"/>
                  <wp:docPr id="106" name="image1.jpg"/>
                  <wp:cNvGraphicFramePr/>
                  <a:graphic xmlns:a="http://schemas.openxmlformats.org/drawingml/2006/main">
                    <a:graphicData uri="http://schemas.openxmlformats.org/drawingml/2006/picture">
                      <pic:pic xmlns:pic="http://schemas.openxmlformats.org/drawingml/2006/picture">
                        <pic:nvPicPr>
                          <pic:cNvPr id="10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80">
      <w:pPr>
        <w:pStyle w:val="4"/>
      </w:pPr>
      <w:r>
        <w:rPr>
          <w:b/>
          <w:color w:val="000000"/>
          <w:rtl w:val="0"/>
        </w:rPr>
        <w:t>Contrôles techniques appropriés</w:t>
      </w:r>
      <w:r>
        <w:rPr>
          <w:rtl w:val="0"/>
        </w:rPr>
        <w:t xml:space="preserve"> : </w:t>
      </w:r>
    </w:p>
    <w:p w14:paraId="00000281">
      <w:r>
        <w:rPr>
          <w:rtl w:val="0"/>
        </w:rPr>
        <w:t>Les mesures techniques et l'utilisation de méthodes de travail adéquates sont prioritaires sur les équipements de protection individuelle.</w:t>
      </w:r>
    </w:p>
    <w:p w14:paraId="00000282">
      <w:r>
        <w:rPr>
          <w:rtl w:val="0"/>
        </w:rPr>
        <w:t>Assurer une ventilation adéquate ainsi qu'une aspiration locale aux endroits critiques.</w:t>
      </w:r>
    </w:p>
    <w:p w14:paraId="00000283">
      <w:pPr>
        <w:pStyle w:val="4"/>
      </w:pPr>
      <w:r>
        <w:rPr>
          <w:b/>
          <w:color w:val="000000"/>
          <w:rtl w:val="0"/>
        </w:rPr>
        <w:t>Mesures de protection individuelle, telles que les équipements de protection individuelle</w:t>
      </w:r>
      <w:r>
        <w:rPr>
          <w:rtl w:val="0"/>
        </w:rPr>
        <w:t xml:space="preserve"> : </w:t>
      </w:r>
    </w:p>
    <w:p w14:paraId="00000284">
      <w:r>
        <w:drawing>
          <wp:inline distT="0" distB="0" distL="0" distR="0">
            <wp:extent cx="539750" cy="539750"/>
            <wp:effectExtent l="0" t="0" r="0" b="0"/>
            <wp:docPr id="107" name="image3.jpg"/>
            <wp:cNvGraphicFramePr/>
            <a:graphic xmlns:a="http://schemas.openxmlformats.org/drawingml/2006/main">
              <a:graphicData uri="http://schemas.openxmlformats.org/drawingml/2006/picture">
                <pic:pic xmlns:pic="http://schemas.openxmlformats.org/drawingml/2006/picture">
                  <pic:nvPicPr>
                    <pic:cNvPr id="107" name="image3.jpg"/>
                    <pic:cNvPicPr preferRelativeResize="0"/>
                  </pic:nvPicPr>
                  <pic:blipFill>
                    <a:blip r:embed="rId15"/>
                    <a:srcRect/>
                    <a:stretch>
                      <a:fillRect/>
                    </a:stretch>
                  </pic:blipFill>
                  <pic:spPr>
                    <a:xfrm>
                      <a:off x="0" y="0"/>
                      <a:ext cx="540000" cy="540000"/>
                    </a:xfrm>
                    <a:prstGeom prst="rect">
                      <a:avLst/>
                    </a:prstGeom>
                  </pic:spPr>
                </pic:pic>
              </a:graphicData>
            </a:graphic>
          </wp:inline>
        </w:drawing>
      </w:r>
      <w:r>
        <w:drawing>
          <wp:inline distT="0" distB="0" distL="0" distR="0">
            <wp:extent cx="539750" cy="539750"/>
            <wp:effectExtent l="0" t="0" r="0" b="0"/>
            <wp:docPr id="108" name="image2.jpg"/>
            <wp:cNvGraphicFramePr/>
            <a:graphic xmlns:a="http://schemas.openxmlformats.org/drawingml/2006/main">
              <a:graphicData uri="http://schemas.openxmlformats.org/drawingml/2006/picture">
                <pic:pic xmlns:pic="http://schemas.openxmlformats.org/drawingml/2006/picture">
                  <pic:nvPicPr>
                    <pic:cNvPr id="108" name="image2.jpg"/>
                    <pic:cNvPicPr preferRelativeResize="0"/>
                  </pic:nvPicPr>
                  <pic:blipFill>
                    <a:blip r:embed="rId16"/>
                    <a:srcRect/>
                    <a:stretch>
                      <a:fillRect/>
                    </a:stretch>
                  </pic:blipFill>
                  <pic:spPr>
                    <a:xfrm>
                      <a:off x="0" y="0"/>
                      <a:ext cx="540000" cy="540000"/>
                    </a:xfrm>
                    <a:prstGeom prst="rect">
                      <a:avLst/>
                    </a:prstGeom>
                  </pic:spPr>
                </pic:pic>
              </a:graphicData>
            </a:graphic>
          </wp:inline>
        </w:drawing>
      </w:r>
    </w:p>
    <w:tbl>
      <w:tblPr>
        <w:tblStyle w:val="131"/>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5B7A68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85">
            <w:pPr>
              <w:rPr>
                <w:b/>
              </w:rPr>
            </w:pPr>
            <w:r>
              <w:rPr>
                <w:b/>
                <w:color w:val="000000"/>
                <w:rtl w:val="0"/>
              </w:rPr>
              <w:t>Protection des yeux et du visage</w:t>
            </w:r>
          </w:p>
        </w:tc>
        <w:tc>
          <w:p w14:paraId="00000286">
            <w:r>
              <w:rPr>
                <w:rtl w:val="0"/>
              </w:rPr>
              <w:t>:</w:t>
            </w:r>
          </w:p>
        </w:tc>
        <w:tc>
          <w:p w14:paraId="00000287">
            <w:r>
              <w:rPr>
                <w:rFonts w:ascii="Calibri" w:hAnsi="Calibri" w:eastAsia="Calibri" w:cs="Calibri"/>
                <w:b/>
                <w:color w:val="000000"/>
                <w:sz w:val="20"/>
                <w:szCs w:val="20"/>
                <w:rtl w:val="0"/>
              </w:rPr>
              <w:t>Protection oculaire appropriée</w:t>
            </w:r>
            <w:r>
              <w:rPr>
                <w:rtl w:val="0"/>
              </w:rPr>
              <w:t xml:space="preserve"> : </w:t>
            </w:r>
          </w:p>
          <w:p w14:paraId="00000288">
            <w:r>
              <w:rPr>
                <w:rtl w:val="0"/>
              </w:rPr>
              <w:t>Aucune donnée disponible.</w:t>
            </w:r>
          </w:p>
        </w:tc>
      </w:tr>
      <w:tr w14:paraId="55866D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89">
            <w:pPr>
              <w:rPr>
                <w:b/>
              </w:rPr>
            </w:pPr>
            <w:r>
              <w:rPr>
                <w:b/>
                <w:color w:val="000000"/>
                <w:rtl w:val="0"/>
              </w:rPr>
              <w:t>Protection de la peau</w:t>
            </w:r>
          </w:p>
        </w:tc>
        <w:tc>
          <w:p w14:paraId="0000028A">
            <w:r>
              <w:rPr>
                <w:rtl w:val="0"/>
              </w:rPr>
              <w:t>:</w:t>
            </w:r>
          </w:p>
        </w:tc>
        <w:tc>
          <w:p w14:paraId="0000028B">
            <w:r>
              <w:rPr>
                <w:rFonts w:ascii="Calibri" w:hAnsi="Calibri" w:eastAsia="Calibri" w:cs="Calibri"/>
                <w:b/>
                <w:color w:val="000000"/>
                <w:sz w:val="20"/>
                <w:szCs w:val="20"/>
                <w:rtl w:val="0"/>
              </w:rPr>
              <w:t>Protection des mains</w:t>
            </w:r>
            <w:r>
              <w:rPr>
                <w:rtl w:val="0"/>
              </w:rPr>
              <w:t xml:space="preserve"> : </w:t>
            </w:r>
          </w:p>
          <w:p w14:paraId="0000028C">
            <w:r>
              <w:rPr>
                <w:b/>
                <w:color w:val="7F7F7F"/>
                <w:rtl w:val="0"/>
              </w:rPr>
              <w:t>Type de gants appropriés</w:t>
            </w:r>
            <w:r>
              <w:rPr>
                <w:rtl w:val="0"/>
              </w:rPr>
              <w:t xml:space="preserve"> : </w:t>
            </w:r>
          </w:p>
          <w:p w14:paraId="0000028D">
            <w:r>
              <w:rPr>
                <w:rtl w:val="0"/>
              </w:rPr>
              <w:t>Porter des gants de protection.</w:t>
            </w:r>
          </w:p>
          <w:p w14:paraId="0000028E">
            <w:r>
              <w:rPr>
                <w:b/>
                <w:color w:val="7F7F7F"/>
                <w:rtl w:val="0"/>
              </w:rPr>
              <w:t>Mesures de protection des mains supplémentaires</w:t>
            </w:r>
            <w:r>
              <w:rPr>
                <w:rtl w:val="0"/>
              </w:rPr>
              <w:t xml:space="preserve"> : </w:t>
            </w:r>
          </w:p>
          <w:p w14:paraId="0000028F">
            <w:r>
              <w:rPr>
                <w:rtl w:val="0"/>
              </w:rPr>
              <w:t>Ne pas porter de gants à proximité de machines et des outils rotatifs.</w:t>
            </w:r>
          </w:p>
          <w:p w14:paraId="00000290">
            <w:r>
              <w:rPr>
                <w:rtl w:val="0"/>
              </w:rPr>
              <w:t>N'utiliser les gants qu'une seule fois.</w:t>
            </w:r>
          </w:p>
          <w:p w14:paraId="00000291">
            <w:r>
              <w:rPr>
                <w:b/>
                <w:color w:val="7F7F7F"/>
                <w:rtl w:val="0"/>
              </w:rPr>
              <w:t>Remarque</w:t>
            </w:r>
            <w:r>
              <w:rPr>
                <w:rtl w:val="0"/>
              </w:rPr>
              <w:t xml:space="preserve"> : </w:t>
            </w:r>
          </w:p>
          <w:p w14:paraId="00000292">
            <w:r>
              <w:rPr>
                <w:rtl w:val="0"/>
              </w:rPr>
              <w:t>Pour manipuler des substances chimiques, des gants de protection répondant aux normes CE (avec les quatre chiffres de contrôle) doivent être portés.</w:t>
            </w:r>
          </w:p>
          <w:p w14:paraId="00000293">
            <w:r>
              <w:rPr>
                <w:rtl w:val="0"/>
              </w:rPr>
              <w:t>La qualité des gants de protection à résistance chimique doit être choisie en fonction de la concentration et la quantité spécifiques des substances dangereuses sur le lieu de travail.</w:t>
            </w:r>
          </w:p>
          <w:p w14:paraId="00000294">
            <w:r>
              <w:rPr>
                <w:rtl w:val="0"/>
              </w:rPr>
              <w:t>Pour des besoins particuliers, il est recommandé de vérifier la résistance des gants de protection mentionnés ci-dessus aux produits chimiques auprès du fournisseur de ces gants.</w:t>
            </w:r>
          </w:p>
          <w:p w14:paraId="00000295">
            <w:r>
              <w:rPr>
                <w:rtl w:val="0"/>
              </w:rPr>
              <w:t>Les délais de rupture et les propriétés de gonflement de la matière doivent être pris en considération.</w:t>
            </w:r>
          </w:p>
          <w:p w14:paraId="00000296">
            <w:r>
              <w:rPr>
                <w:rFonts w:ascii="Calibri" w:hAnsi="Calibri" w:eastAsia="Calibri" w:cs="Calibri"/>
                <w:b/>
                <w:color w:val="000000"/>
                <w:sz w:val="20"/>
                <w:szCs w:val="20"/>
                <w:rtl w:val="0"/>
              </w:rPr>
              <w:t>Protection du corps</w:t>
            </w:r>
            <w:r>
              <w:rPr>
                <w:rtl w:val="0"/>
              </w:rPr>
              <w:t xml:space="preserve"> : </w:t>
            </w:r>
          </w:p>
          <w:p w14:paraId="00000297">
            <w:r>
              <w:rPr>
                <w:b/>
                <w:color w:val="7F7F7F"/>
                <w:rtl w:val="0"/>
              </w:rPr>
              <w:t>Vêtement de protection approprié</w:t>
            </w:r>
            <w:r>
              <w:rPr>
                <w:rtl w:val="0"/>
              </w:rPr>
              <w:t xml:space="preserve"> : </w:t>
            </w:r>
          </w:p>
          <w:p w14:paraId="00000298">
            <w:r>
              <w:rPr>
                <w:rtl w:val="0"/>
              </w:rPr>
              <w:t>Blouse de laboratoire.</w:t>
            </w:r>
          </w:p>
        </w:tc>
      </w:tr>
      <w:tr w14:paraId="53977F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99">
            <w:pPr>
              <w:rPr>
                <w:b/>
              </w:rPr>
            </w:pPr>
            <w:r>
              <w:rPr>
                <w:b/>
                <w:color w:val="000000"/>
                <w:rtl w:val="0"/>
              </w:rPr>
              <w:t>Protection respiratoire</w:t>
            </w:r>
          </w:p>
        </w:tc>
        <w:tc>
          <w:p w14:paraId="0000029A">
            <w:r>
              <w:rPr>
                <w:rtl w:val="0"/>
              </w:rPr>
              <w:t>:</w:t>
            </w:r>
          </w:p>
        </w:tc>
        <w:tc>
          <w:p w14:paraId="0000029B">
            <w:r>
              <w:rPr>
                <w:rFonts w:ascii="Calibri" w:hAnsi="Calibri" w:eastAsia="Calibri" w:cs="Calibri"/>
                <w:b/>
                <w:color w:val="000000"/>
                <w:sz w:val="20"/>
                <w:szCs w:val="20"/>
                <w:rtl w:val="0"/>
              </w:rPr>
              <w:t>Protection respiratoire nécessaire</w:t>
            </w:r>
            <w:r>
              <w:rPr>
                <w:rtl w:val="0"/>
              </w:rPr>
              <w:t xml:space="preserve"> : </w:t>
            </w:r>
          </w:p>
          <w:p w14:paraId="0000029C">
            <w:r>
              <w:rPr>
                <w:rtl w:val="0"/>
              </w:rPr>
              <w:t>Si des mesures d'aération ou de ventilation techniques ne sont pas possibles ou suffisantes, une protection respiratoire doit être portée.</w:t>
            </w:r>
          </w:p>
          <w:p w14:paraId="0000029D">
            <w:r>
              <w:rPr>
                <w:rFonts w:ascii="Calibri" w:hAnsi="Calibri" w:eastAsia="Calibri" w:cs="Calibri"/>
                <w:b/>
                <w:color w:val="000000"/>
                <w:sz w:val="20"/>
                <w:szCs w:val="20"/>
                <w:rtl w:val="0"/>
              </w:rPr>
              <w:t>Appareil de protection respiratoire</w:t>
            </w:r>
            <w:r>
              <w:rPr>
                <w:rtl w:val="0"/>
              </w:rPr>
              <w:t xml:space="preserve"> : </w:t>
            </w:r>
          </w:p>
          <w:p w14:paraId="0000029E">
            <w:r>
              <w:rPr>
                <w:rtl w:val="0"/>
              </w:rPr>
              <w:t>Porter une protection respiratoire.</w:t>
            </w:r>
          </w:p>
          <w:p w14:paraId="0000029F">
            <w:r>
              <w:rPr>
                <w:rFonts w:ascii="Calibri" w:hAnsi="Calibri" w:eastAsia="Calibri" w:cs="Calibri"/>
                <w:b/>
                <w:color w:val="000000"/>
                <w:sz w:val="20"/>
                <w:szCs w:val="20"/>
                <w:rtl w:val="0"/>
              </w:rPr>
              <w:t>Remarque</w:t>
            </w:r>
            <w:r>
              <w:rPr>
                <w:rtl w:val="0"/>
              </w:rPr>
              <w:t xml:space="preserve"> : </w:t>
            </w:r>
          </w:p>
          <w:p w14:paraId="000002A0">
            <w:r>
              <w:rPr>
                <w:rtl w:val="0"/>
              </w:rPr>
              <w:t>La classe du filtre doit être adaptée à la concentration maximale de contaminants (gaz/vapeurs/aérosols/particules) qui peut être atteinte lors de la manipulation du produit. Si la concentration est dépassée, un appareil respiratoire isolant doit être utilisé.</w:t>
            </w:r>
          </w:p>
          <w:p w14:paraId="000002A1">
            <w:r>
              <w:rPr>
                <w:rtl w:val="0"/>
              </w:rPr>
              <w:t>Respecter les délais d'usure tels que spécifiés par le fabricant.</w:t>
            </w:r>
          </w:p>
          <w:p w14:paraId="000002A2">
            <w:r>
              <w:rPr>
                <w:rtl w:val="0"/>
              </w:rPr>
              <w:t>Utiliser seulement l'équipement de protection respiratoire homologué CE doté d'un numéro de contrôle à quatre chiffres.</w:t>
            </w:r>
          </w:p>
        </w:tc>
      </w:tr>
    </w:tbl>
    <w:p w14:paraId="000002A3">
      <w:pPr>
        <w:pStyle w:val="4"/>
      </w:pPr>
      <w:r>
        <w:rPr>
          <w:b/>
          <w:color w:val="000000"/>
          <w:rtl w:val="0"/>
        </w:rPr>
        <w:t>Contrôles d’exposition liés à la protection de l’environnement</w:t>
      </w:r>
      <w:r>
        <w:rPr>
          <w:rtl w:val="0"/>
        </w:rPr>
        <w:t xml:space="preserve"> : </w:t>
      </w:r>
    </w:p>
    <w:p w14:paraId="000002A4">
      <w:r>
        <w:rPr>
          <w:rtl w:val="0"/>
        </w:rPr>
        <w:t>Pas de données disponibles</w:t>
      </w:r>
    </w:p>
    <w:p w14:paraId="000002A5">
      <w:pPr>
        <w:pStyle w:val="4"/>
      </w:pPr>
      <w:r>
        <w:rPr>
          <w:b/>
          <w:color w:val="000000"/>
          <w:rtl w:val="0"/>
        </w:rPr>
        <w:t>Contrôle de l'exposition des consommateurs</w:t>
      </w:r>
      <w:r>
        <w:rPr>
          <w:rtl w:val="0"/>
        </w:rPr>
        <w:t xml:space="preserve"> : </w:t>
      </w:r>
    </w:p>
    <w:p w14:paraId="000002A6">
      <w:r>
        <w:rPr>
          <w:rtl w:val="0"/>
        </w:rPr>
        <w:t>Pas de données disponibles</w:t>
      </w:r>
    </w:p>
    <w:tbl>
      <w:tblPr>
        <w:tblStyle w:val="13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1237A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A7"/>
        </w:tc>
        <w:tc>
          <w:p w14:paraId="000002A8">
            <w:pPr>
              <w:pStyle w:val="3"/>
              <w:spacing w:after="0" w:line="240" w:lineRule="auto"/>
              <w:rPr>
                <w:sz w:val="28"/>
                <w:szCs w:val="28"/>
              </w:rPr>
            </w:pPr>
            <w:r>
              <w:rPr>
                <w:rtl w:val="0"/>
              </w:rPr>
              <w:t>8.3</w:t>
            </w:r>
          </w:p>
        </w:tc>
        <w:tc>
          <w:p w14:paraId="000002A9">
            <w:pPr>
              <w:pStyle w:val="3"/>
              <w:spacing w:after="0" w:line="240" w:lineRule="auto"/>
            </w:pPr>
            <w:r>
              <w:rPr>
                <w:rtl w:val="0"/>
              </w:rPr>
              <w:t>Informations complémentaires</w:t>
            </w:r>
          </w:p>
        </w:tc>
      </w:tr>
      <w:tr w14:paraId="38F3FA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AA"/>
        </w:tc>
        <w:tc>
          <w:p w14:paraId="000002AB"/>
        </w:tc>
        <w:tc>
          <w:p w14:paraId="000002AC">
            <w:r>
              <w:rPr>
                <w:sz w:val="12"/>
                <w:szCs w:val="12"/>
              </w:rPr>
              <w:drawing>
                <wp:inline distT="0" distB="0" distL="0" distR="0">
                  <wp:extent cx="405765" cy="37465"/>
                  <wp:effectExtent l="0" t="0" r="0" b="0"/>
                  <wp:docPr id="109" name="image1.jpg"/>
                  <wp:cNvGraphicFramePr/>
                  <a:graphic xmlns:a="http://schemas.openxmlformats.org/drawingml/2006/main">
                    <a:graphicData uri="http://schemas.openxmlformats.org/drawingml/2006/picture">
                      <pic:pic xmlns:pic="http://schemas.openxmlformats.org/drawingml/2006/picture">
                        <pic:nvPicPr>
                          <pic:cNvPr id="10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AD">
      <w:r>
        <w:rPr>
          <w:rtl w:val="0"/>
        </w:rPr>
        <w:t>Pas de données disponibles</w:t>
      </w:r>
    </w:p>
    <w:tbl>
      <w:tblPr>
        <w:tblStyle w:val="13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30CF1B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2A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2AF">
            <w:pPr>
              <w:jc w:val="center"/>
              <w:rPr>
                <w:b/>
                <w:sz w:val="16"/>
                <w:szCs w:val="16"/>
              </w:rPr>
            </w:pPr>
            <w:r>
              <w:rPr>
                <w:b/>
                <w:sz w:val="16"/>
                <w:szCs w:val="16"/>
                <w:rtl w:val="0"/>
              </w:rPr>
              <w:t>section</w:t>
            </w:r>
          </w:p>
        </w:tc>
        <w:tc>
          <w:tcPr>
            <w:shd w:val="clear" w:color="auto" w:fill="A8D8A7"/>
            <w:vAlign w:val="center"/>
          </w:tcPr>
          <w:p w14:paraId="000002B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9</w:t>
            </w:r>
          </w:p>
        </w:tc>
        <w:tc>
          <w:tcPr>
            <w:shd w:val="clear" w:color="auto" w:fill="A8D8A7"/>
            <w:vAlign w:val="center"/>
          </w:tcPr>
          <w:p w14:paraId="000002B1">
            <w:pPr>
              <w:pStyle w:val="2"/>
              <w:spacing w:line="240" w:lineRule="auto"/>
            </w:pPr>
            <w:r>
              <w:rPr>
                <w:rtl w:val="0"/>
              </w:rPr>
              <w:t>Propriétés physiques et chimiques</w:t>
            </w:r>
          </w:p>
        </w:tc>
        <w:tc>
          <w:tcPr>
            <w:shd w:val="clear" w:color="auto" w:fill="A8D8A7"/>
            <w:vAlign w:val="center"/>
          </w:tcPr>
          <w:p w14:paraId="000002B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2B3"/>
    <w:tbl>
      <w:tblPr>
        <w:tblStyle w:val="13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5B3EF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2B4"/>
        </w:tc>
        <w:tc>
          <w:p w14:paraId="000002B5">
            <w:pPr>
              <w:pStyle w:val="3"/>
              <w:spacing w:after="0" w:line="240" w:lineRule="auto"/>
              <w:rPr>
                <w:sz w:val="28"/>
                <w:szCs w:val="28"/>
              </w:rPr>
            </w:pPr>
            <w:r>
              <w:rPr>
                <w:rtl w:val="0"/>
              </w:rPr>
              <w:t>9.1</w:t>
            </w:r>
          </w:p>
        </w:tc>
        <w:tc>
          <w:p w14:paraId="000002B6">
            <w:pPr>
              <w:pStyle w:val="3"/>
              <w:spacing w:after="0" w:line="240" w:lineRule="auto"/>
            </w:pPr>
            <w:r>
              <w:rPr>
                <w:rtl w:val="0"/>
              </w:rPr>
              <w:t>Informations sur les propriétés physiques et chimiques essentielles</w:t>
            </w:r>
          </w:p>
        </w:tc>
      </w:tr>
      <w:tr w14:paraId="459514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B7"/>
        </w:tc>
        <w:tc>
          <w:p w14:paraId="000002B8"/>
        </w:tc>
        <w:tc>
          <w:p w14:paraId="000002B9">
            <w:r>
              <w:rPr>
                <w:sz w:val="12"/>
                <w:szCs w:val="12"/>
              </w:rPr>
              <w:drawing>
                <wp:inline distT="0" distB="0" distL="0" distR="0">
                  <wp:extent cx="405765" cy="37465"/>
                  <wp:effectExtent l="0" t="0" r="0" b="0"/>
                  <wp:docPr id="58" name="image1.jpg"/>
                  <wp:cNvGraphicFramePr/>
                  <a:graphic xmlns:a="http://schemas.openxmlformats.org/drawingml/2006/main">
                    <a:graphicData uri="http://schemas.openxmlformats.org/drawingml/2006/picture">
                      <pic:pic xmlns:pic="http://schemas.openxmlformats.org/drawingml/2006/picture">
                        <pic:nvPicPr>
                          <pic:cNvPr id="5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2BA"/>
    <w:tbl>
      <w:tblPr>
        <w:tblStyle w:val="135"/>
        <w:tblW w:w="1003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3458"/>
        <w:gridCol w:w="340"/>
        <w:gridCol w:w="6236"/>
      </w:tblGrid>
      <w:tr w14:paraId="70975B5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BB">
            <w:pPr>
              <w:rPr>
                <w:b/>
              </w:rPr>
            </w:pPr>
            <w:r>
              <w:rPr>
                <w:b/>
                <w:rtl w:val="0"/>
              </w:rPr>
              <w:t>Etat physique</w:t>
            </w:r>
          </w:p>
        </w:tc>
        <w:tc>
          <w:p w14:paraId="000002BC">
            <w:r>
              <w:rPr>
                <w:rtl w:val="0"/>
              </w:rPr>
              <w:t>:</w:t>
            </w:r>
          </w:p>
        </w:tc>
        <w:tc>
          <w:p w14:paraId="000002BD">
            <w:r>
              <w:rPr>
                <w:rtl w:val="0"/>
              </w:rPr>
              <w:t>Liquide</w:t>
            </w:r>
          </w:p>
        </w:tc>
      </w:tr>
      <w:tr w14:paraId="5530419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BE">
            <w:pPr>
              <w:rPr>
                <w:b/>
              </w:rPr>
            </w:pPr>
            <w:r>
              <w:rPr>
                <w:b/>
                <w:rtl w:val="0"/>
              </w:rPr>
              <w:t>Couleur</w:t>
            </w:r>
          </w:p>
        </w:tc>
        <w:tc>
          <w:p w14:paraId="000002BF">
            <w:r>
              <w:rPr>
                <w:rtl w:val="0"/>
              </w:rPr>
              <w:t>:</w:t>
            </w:r>
          </w:p>
        </w:tc>
        <w:tc>
          <w:p w14:paraId="000002C0">
            <w:r>
              <w:rPr>
                <w:rtl w:val="0"/>
              </w:rPr>
              <w:t>Pas de données disponibles</w:t>
            </w:r>
          </w:p>
        </w:tc>
      </w:tr>
      <w:tr w14:paraId="26E23C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C1">
            <w:pPr>
              <w:rPr>
                <w:b/>
              </w:rPr>
            </w:pPr>
            <w:r>
              <w:rPr>
                <w:b/>
                <w:rtl w:val="0"/>
              </w:rPr>
              <w:t>Odeur</w:t>
            </w:r>
          </w:p>
        </w:tc>
        <w:tc>
          <w:p w14:paraId="000002C2">
            <w:r>
              <w:rPr>
                <w:rtl w:val="0"/>
              </w:rPr>
              <w:t>:</w:t>
            </w:r>
          </w:p>
        </w:tc>
        <w:tc>
          <w:p w14:paraId="000002C3">
            <w:r>
              <w:rPr>
                <w:rtl w:val="0"/>
              </w:rPr>
              <w:t>Pas de données disponibles</w:t>
            </w:r>
          </w:p>
        </w:tc>
      </w:tr>
      <w:tr w14:paraId="043D72C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C4">
            <w:pPr>
              <w:rPr>
                <w:b/>
              </w:rPr>
            </w:pPr>
            <w:r>
              <w:rPr>
                <w:b/>
                <w:rtl w:val="0"/>
              </w:rPr>
              <w:t>Seuil olfactif</w:t>
            </w:r>
          </w:p>
        </w:tc>
        <w:tc>
          <w:p w14:paraId="000002C5">
            <w:r>
              <w:rPr>
                <w:rtl w:val="0"/>
              </w:rPr>
              <w:t>:</w:t>
            </w:r>
          </w:p>
        </w:tc>
        <w:tc>
          <w:p w14:paraId="000002C6">
            <w:r>
              <w:rPr>
                <w:rtl w:val="0"/>
              </w:rPr>
              <w:t>Pas de données disponibles</w:t>
            </w:r>
          </w:p>
        </w:tc>
      </w:tr>
      <w:tr w14:paraId="40849D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C7">
            <w:pPr>
              <w:rPr>
                <w:b/>
              </w:rPr>
            </w:pPr>
            <w:r>
              <w:rPr>
                <w:b/>
                <w:rtl w:val="0"/>
              </w:rPr>
              <w:t>pH</w:t>
            </w:r>
          </w:p>
        </w:tc>
        <w:tc>
          <w:p w14:paraId="000002C8">
            <w:r>
              <w:rPr>
                <w:rtl w:val="0"/>
              </w:rPr>
              <w:t>:</w:t>
            </w:r>
          </w:p>
        </w:tc>
        <w:tc>
          <w:p w14:paraId="000002C9">
            <w:r>
              <w:rPr>
                <w:rtl w:val="0"/>
              </w:rPr>
              <w:t>Pas de données disponibles</w:t>
            </w:r>
          </w:p>
        </w:tc>
      </w:tr>
      <w:tr w14:paraId="0358CE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CA">
            <w:pPr>
              <w:rPr>
                <w:b/>
              </w:rPr>
            </w:pPr>
            <w:r>
              <w:rPr>
                <w:b/>
                <w:rtl w:val="0"/>
              </w:rPr>
              <w:t>Point de fusion/point de congélation</w:t>
            </w:r>
          </w:p>
        </w:tc>
        <w:tc>
          <w:p w14:paraId="000002CB">
            <w:r>
              <w:rPr>
                <w:rtl w:val="0"/>
              </w:rPr>
              <w:t>:</w:t>
            </w:r>
          </w:p>
        </w:tc>
        <w:tc>
          <w:p w14:paraId="000002CC">
            <w:r>
              <w:rPr>
                <w:rtl w:val="0"/>
              </w:rPr>
              <w:t>Pas de données disponibles</w:t>
            </w:r>
          </w:p>
        </w:tc>
      </w:tr>
      <w:tr w14:paraId="21E475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CD">
            <w:pPr>
              <w:rPr>
                <w:b/>
              </w:rPr>
            </w:pPr>
            <w:r>
              <w:rPr>
                <w:b/>
                <w:rtl w:val="0"/>
              </w:rPr>
              <w:t>Point initial d’ébullition et intervalle d’ébullition</w:t>
            </w:r>
          </w:p>
        </w:tc>
        <w:tc>
          <w:p w14:paraId="000002CE">
            <w:r>
              <w:rPr>
                <w:rtl w:val="0"/>
              </w:rPr>
              <w:t>:</w:t>
            </w:r>
          </w:p>
        </w:tc>
        <w:tc>
          <w:p w14:paraId="000002CF">
            <w:r>
              <w:rPr>
                <w:rtl w:val="0"/>
              </w:rPr>
              <w:t>Pas de données disponibles</w:t>
            </w:r>
          </w:p>
        </w:tc>
      </w:tr>
      <w:tr w14:paraId="5E7F1C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D0">
            <w:pPr>
              <w:rPr>
                <w:b/>
              </w:rPr>
            </w:pPr>
            <w:r>
              <w:rPr>
                <w:b/>
                <w:rtl w:val="0"/>
              </w:rPr>
              <w:t>Point d’éclair</w:t>
            </w:r>
          </w:p>
        </w:tc>
        <w:tc>
          <w:p w14:paraId="000002D1">
            <w:r>
              <w:rPr>
                <w:rtl w:val="0"/>
              </w:rPr>
              <w:t>:</w:t>
            </w:r>
          </w:p>
        </w:tc>
        <w:tc>
          <w:p w14:paraId="000002D2">
            <w:r>
              <w:rPr>
                <w:rtl w:val="0"/>
              </w:rPr>
              <w:t>&gt;93°C</w:t>
            </w:r>
          </w:p>
        </w:tc>
      </w:tr>
      <w:tr w14:paraId="4892B7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D3">
            <w:pPr>
              <w:rPr>
                <w:b/>
              </w:rPr>
            </w:pPr>
            <w:r>
              <w:rPr>
                <w:b/>
                <w:rtl w:val="0"/>
              </w:rPr>
              <w:t>Taux d’évaporation</w:t>
            </w:r>
          </w:p>
        </w:tc>
        <w:tc>
          <w:p w14:paraId="000002D4">
            <w:r>
              <w:rPr>
                <w:rtl w:val="0"/>
              </w:rPr>
              <w:t>:</w:t>
            </w:r>
          </w:p>
        </w:tc>
        <w:tc>
          <w:p w14:paraId="000002D5">
            <w:r>
              <w:rPr>
                <w:rtl w:val="0"/>
              </w:rPr>
              <w:t>Pas de données disponibles</w:t>
            </w:r>
          </w:p>
        </w:tc>
      </w:tr>
      <w:tr w14:paraId="6FFFC1D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D6">
            <w:pPr>
              <w:rPr>
                <w:b/>
              </w:rPr>
            </w:pPr>
            <w:r>
              <w:rPr>
                <w:b/>
                <w:rtl w:val="0"/>
              </w:rPr>
              <w:t>Inflammabilité</w:t>
            </w:r>
          </w:p>
        </w:tc>
        <w:tc>
          <w:p w14:paraId="000002D7">
            <w:r>
              <w:rPr>
                <w:rtl w:val="0"/>
              </w:rPr>
              <w:t>:</w:t>
            </w:r>
          </w:p>
        </w:tc>
        <w:tc>
          <w:p w14:paraId="000002D8">
            <w:r>
              <w:rPr>
                <w:rtl w:val="0"/>
              </w:rPr>
              <w:t>Pas de données disponibles</w:t>
            </w:r>
          </w:p>
        </w:tc>
      </w:tr>
      <w:tr w14:paraId="2AAB5F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D9">
            <w:pPr>
              <w:rPr>
                <w:b/>
              </w:rPr>
            </w:pPr>
            <w:r>
              <w:rPr>
                <w:b/>
                <w:rtl w:val="0"/>
              </w:rPr>
              <w:t>Limites supérieures/inférieures d’inflammabilité ou limites d’explosivité</w:t>
            </w:r>
          </w:p>
        </w:tc>
        <w:tc>
          <w:p w14:paraId="000002DA">
            <w:r>
              <w:rPr>
                <w:rtl w:val="0"/>
              </w:rPr>
              <w:t>:</w:t>
            </w:r>
          </w:p>
        </w:tc>
        <w:tc>
          <w:p w14:paraId="000002DB">
            <w:r>
              <w:rPr>
                <w:rtl w:val="0"/>
              </w:rPr>
              <w:t>Pas de données disponibles</w:t>
            </w:r>
          </w:p>
        </w:tc>
      </w:tr>
      <w:tr w14:paraId="23B291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DC">
            <w:pPr>
              <w:rPr>
                <w:b/>
              </w:rPr>
            </w:pPr>
            <w:r>
              <w:rPr>
                <w:b/>
                <w:rtl w:val="0"/>
              </w:rPr>
              <w:t>Pression de vapeur</w:t>
            </w:r>
          </w:p>
        </w:tc>
        <w:tc>
          <w:p w14:paraId="000002DD">
            <w:r>
              <w:rPr>
                <w:rtl w:val="0"/>
              </w:rPr>
              <w:t>:</w:t>
            </w:r>
          </w:p>
        </w:tc>
        <w:tc>
          <w:p w14:paraId="000002DE">
            <w:r>
              <w:rPr>
                <w:rtl w:val="0"/>
              </w:rPr>
              <w:t>Pas de données disponibles</w:t>
            </w:r>
          </w:p>
        </w:tc>
      </w:tr>
      <w:tr w14:paraId="78C315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DF">
            <w:pPr>
              <w:rPr>
                <w:b/>
              </w:rPr>
            </w:pPr>
            <w:r>
              <w:rPr>
                <w:b/>
                <w:rtl w:val="0"/>
              </w:rPr>
              <w:t>Densité de vapeur</w:t>
            </w:r>
          </w:p>
        </w:tc>
        <w:tc>
          <w:p w14:paraId="000002E0">
            <w:r>
              <w:rPr>
                <w:rtl w:val="0"/>
              </w:rPr>
              <w:t>:</w:t>
            </w:r>
          </w:p>
        </w:tc>
        <w:tc>
          <w:p w14:paraId="000002E1">
            <w:r>
              <w:rPr>
                <w:rtl w:val="0"/>
              </w:rPr>
              <w:t>Pas de données disponibles</w:t>
            </w:r>
          </w:p>
        </w:tc>
      </w:tr>
      <w:tr w14:paraId="6011AF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E2">
            <w:pPr>
              <w:rPr>
                <w:b/>
              </w:rPr>
            </w:pPr>
            <w:r>
              <w:rPr>
                <w:b/>
                <w:rtl w:val="0"/>
              </w:rPr>
              <w:t>Densité relative</w:t>
            </w:r>
          </w:p>
        </w:tc>
        <w:tc>
          <w:p w14:paraId="000002E3">
            <w:r>
              <w:rPr>
                <w:rtl w:val="0"/>
              </w:rPr>
              <w:t>:</w:t>
            </w:r>
          </w:p>
        </w:tc>
        <w:tc>
          <w:p w14:paraId="000002E4">
            <w:r>
              <w:rPr>
                <w:rtl w:val="0"/>
              </w:rPr>
              <w:t>Pas de données disponibles</w:t>
            </w:r>
          </w:p>
        </w:tc>
      </w:tr>
      <w:tr w14:paraId="3FEFA2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E5">
            <w:pPr>
              <w:rPr>
                <w:b/>
              </w:rPr>
            </w:pPr>
            <w:r>
              <w:rPr>
                <w:b/>
                <w:rtl w:val="0"/>
              </w:rPr>
              <w:t>Solubilité(s)</w:t>
            </w:r>
          </w:p>
        </w:tc>
        <w:tc>
          <w:p w14:paraId="000002E6">
            <w:r>
              <w:rPr>
                <w:rtl w:val="0"/>
              </w:rPr>
              <w:t>:</w:t>
            </w:r>
          </w:p>
        </w:tc>
        <w:tc>
          <w:p w14:paraId="000002E7">
            <w:r>
              <w:rPr>
                <w:rtl w:val="0"/>
              </w:rPr>
              <w:t>Pas de données disponibles</w:t>
            </w:r>
          </w:p>
        </w:tc>
      </w:tr>
      <w:tr w14:paraId="70D629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E8">
            <w:pPr>
              <w:rPr>
                <w:b/>
              </w:rPr>
            </w:pPr>
            <w:r>
              <w:rPr>
                <w:b/>
                <w:rtl w:val="0"/>
              </w:rPr>
              <w:t>Coefficient de partage n-octanol/eau (valeur log)</w:t>
            </w:r>
          </w:p>
        </w:tc>
        <w:tc>
          <w:p w14:paraId="000002E9">
            <w:r>
              <w:rPr>
                <w:rtl w:val="0"/>
              </w:rPr>
              <w:t>:</w:t>
            </w:r>
          </w:p>
        </w:tc>
        <w:tc>
          <w:p w14:paraId="000002EA">
            <w:r>
              <w:rPr>
                <w:rtl w:val="0"/>
              </w:rPr>
              <w:t>Pas de données disponibles</w:t>
            </w:r>
          </w:p>
        </w:tc>
      </w:tr>
      <w:tr w14:paraId="01E28C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EB">
            <w:pPr>
              <w:rPr>
                <w:b/>
              </w:rPr>
            </w:pPr>
            <w:r>
              <w:rPr>
                <w:b/>
                <w:rtl w:val="0"/>
              </w:rPr>
              <w:t>Température d’auto-inflammabilité</w:t>
            </w:r>
          </w:p>
        </w:tc>
        <w:tc>
          <w:p w14:paraId="000002EC">
            <w:r>
              <w:rPr>
                <w:rtl w:val="0"/>
              </w:rPr>
              <w:t>:</w:t>
            </w:r>
          </w:p>
        </w:tc>
        <w:tc>
          <w:p w14:paraId="000002ED">
            <w:r>
              <w:rPr>
                <w:rtl w:val="0"/>
              </w:rPr>
              <w:t>Pas de données disponibles</w:t>
            </w:r>
          </w:p>
        </w:tc>
      </w:tr>
      <w:tr w14:paraId="0AC79E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EE">
            <w:pPr>
              <w:rPr>
                <w:b/>
              </w:rPr>
            </w:pPr>
            <w:r>
              <w:rPr>
                <w:b/>
                <w:rtl w:val="0"/>
              </w:rPr>
              <w:t>Température de décomposition</w:t>
            </w:r>
          </w:p>
        </w:tc>
        <w:tc>
          <w:p w14:paraId="000002EF">
            <w:r>
              <w:rPr>
                <w:rtl w:val="0"/>
              </w:rPr>
              <w:t>:</w:t>
            </w:r>
          </w:p>
        </w:tc>
        <w:tc>
          <w:p w14:paraId="000002F0">
            <w:r>
              <w:rPr>
                <w:rtl w:val="0"/>
              </w:rPr>
              <w:t>Pas de données disponibles</w:t>
            </w:r>
          </w:p>
        </w:tc>
      </w:tr>
      <w:tr w14:paraId="70EE44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F1">
            <w:pPr>
              <w:rPr>
                <w:b/>
              </w:rPr>
            </w:pPr>
            <w:r>
              <w:rPr>
                <w:b/>
                <w:rtl w:val="0"/>
              </w:rPr>
              <w:t>Viscosité dynamique</w:t>
            </w:r>
          </w:p>
        </w:tc>
        <w:tc>
          <w:p w14:paraId="000002F2">
            <w:r>
              <w:rPr>
                <w:rtl w:val="0"/>
              </w:rPr>
              <w:t>:</w:t>
            </w:r>
          </w:p>
        </w:tc>
        <w:tc>
          <w:p w14:paraId="000002F3">
            <w:r>
              <w:rPr>
                <w:rtl w:val="0"/>
              </w:rPr>
              <w:t>Pas de données disponibles</w:t>
            </w:r>
          </w:p>
        </w:tc>
      </w:tr>
      <w:tr w14:paraId="5275628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F4">
            <w:pPr>
              <w:rPr>
                <w:b/>
              </w:rPr>
            </w:pPr>
            <w:r>
              <w:rPr>
                <w:b/>
                <w:rtl w:val="0"/>
              </w:rPr>
              <w:t>Viscosité cinématique</w:t>
            </w:r>
          </w:p>
        </w:tc>
        <w:tc>
          <w:p w14:paraId="000002F5">
            <w:r>
              <w:rPr>
                <w:rtl w:val="0"/>
              </w:rPr>
              <w:t>:</w:t>
            </w:r>
          </w:p>
        </w:tc>
        <w:tc>
          <w:p w14:paraId="000002F6">
            <w:r>
              <w:rPr>
                <w:rtl w:val="0"/>
              </w:rPr>
              <w:t>Pas de données disponibles</w:t>
            </w:r>
          </w:p>
        </w:tc>
      </w:tr>
      <w:tr w14:paraId="236F10C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F7">
            <w:pPr>
              <w:rPr>
                <w:b/>
              </w:rPr>
            </w:pPr>
            <w:r>
              <w:rPr>
                <w:b/>
                <w:rtl w:val="0"/>
              </w:rPr>
              <w:t>Propriétés comburantes</w:t>
            </w:r>
          </w:p>
        </w:tc>
        <w:tc>
          <w:p w14:paraId="000002F8">
            <w:r>
              <w:rPr>
                <w:rtl w:val="0"/>
              </w:rPr>
              <w:t>:</w:t>
            </w:r>
          </w:p>
        </w:tc>
        <w:tc>
          <w:p w14:paraId="000002F9">
            <w:r>
              <w:rPr>
                <w:rtl w:val="0"/>
              </w:rPr>
              <w:t>Pas de données disponibles</w:t>
            </w:r>
          </w:p>
        </w:tc>
      </w:tr>
      <w:tr w14:paraId="44E9C32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FA">
            <w:pPr>
              <w:rPr>
                <w:b/>
              </w:rPr>
            </w:pPr>
            <w:r>
              <w:rPr>
                <w:b/>
                <w:rtl w:val="0"/>
              </w:rPr>
              <w:t>Propriétés comburantes</w:t>
            </w:r>
          </w:p>
        </w:tc>
        <w:tc>
          <w:p w14:paraId="000002FB">
            <w:r>
              <w:rPr>
                <w:rtl w:val="0"/>
              </w:rPr>
              <w:t>:</w:t>
            </w:r>
          </w:p>
        </w:tc>
        <w:tc>
          <w:p w14:paraId="000002FC">
            <w:r>
              <w:rPr>
                <w:rtl w:val="0"/>
              </w:rPr>
              <w:t>Pas de données disponibles</w:t>
            </w:r>
          </w:p>
        </w:tc>
      </w:tr>
      <w:tr w14:paraId="454F5B4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2FD">
            <w:pPr>
              <w:rPr>
                <w:b/>
              </w:rPr>
            </w:pPr>
            <w:r>
              <w:rPr>
                <w:b/>
                <w:rtl w:val="0"/>
              </w:rPr>
              <w:t>Solubilité dans d'autres solvants</w:t>
            </w:r>
          </w:p>
        </w:tc>
        <w:tc>
          <w:p w14:paraId="000002FE">
            <w:r>
              <w:rPr>
                <w:rtl w:val="0"/>
              </w:rPr>
              <w:t>:</w:t>
            </w:r>
          </w:p>
        </w:tc>
        <w:tc>
          <w:p w14:paraId="000002FF">
            <w:r>
              <w:rPr>
                <w:rtl w:val="0"/>
              </w:rPr>
              <w:t>Pas de données disponibles</w:t>
            </w:r>
          </w:p>
        </w:tc>
      </w:tr>
      <w:tr w14:paraId="14598D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00">
            <w:pPr>
              <w:rPr>
                <w:b/>
              </w:rPr>
            </w:pPr>
            <w:r>
              <w:rPr>
                <w:b/>
                <w:rtl w:val="0"/>
              </w:rPr>
              <w:t>Log Kow</w:t>
            </w:r>
          </w:p>
        </w:tc>
        <w:tc>
          <w:p w14:paraId="00000301">
            <w:r>
              <w:rPr>
                <w:rtl w:val="0"/>
              </w:rPr>
              <w:t>:</w:t>
            </w:r>
          </w:p>
        </w:tc>
        <w:tc>
          <w:p w14:paraId="00000302">
            <w:r>
              <w:rPr>
                <w:rtl w:val="0"/>
              </w:rPr>
              <w:t>Pas de données disponibles</w:t>
            </w:r>
          </w:p>
        </w:tc>
      </w:tr>
      <w:tr w14:paraId="012B58C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03">
            <w:pPr>
              <w:rPr>
                <w:b/>
              </w:rPr>
            </w:pPr>
            <w:r>
              <w:rPr>
                <w:b/>
                <w:rtl w:val="0"/>
              </w:rPr>
              <w:t>Caractéristiques des particules</w:t>
            </w:r>
          </w:p>
        </w:tc>
        <w:tc>
          <w:p w14:paraId="00000304">
            <w:r>
              <w:rPr>
                <w:rtl w:val="0"/>
              </w:rPr>
              <w:t>:</w:t>
            </w:r>
          </w:p>
        </w:tc>
        <w:tc>
          <w:p w14:paraId="00000305">
            <w:r>
              <w:rPr>
                <w:rtl w:val="0"/>
              </w:rPr>
              <w:t>Pas de données disponibles</w:t>
            </w:r>
          </w:p>
        </w:tc>
      </w:tr>
    </w:tbl>
    <w:p w14:paraId="00000306"/>
    <w:tbl>
      <w:tblPr>
        <w:tblStyle w:val="13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06A8E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07"/>
        </w:tc>
        <w:tc>
          <w:p w14:paraId="00000308">
            <w:pPr>
              <w:pStyle w:val="3"/>
              <w:spacing w:after="0" w:line="240" w:lineRule="auto"/>
              <w:rPr>
                <w:sz w:val="28"/>
                <w:szCs w:val="28"/>
              </w:rPr>
            </w:pPr>
            <w:r>
              <w:rPr>
                <w:rtl w:val="0"/>
              </w:rPr>
              <w:t>9.2</w:t>
            </w:r>
          </w:p>
        </w:tc>
        <w:tc>
          <w:p w14:paraId="00000309">
            <w:pPr>
              <w:pStyle w:val="3"/>
              <w:spacing w:after="0" w:line="240" w:lineRule="auto"/>
            </w:pPr>
            <w:r>
              <w:rPr>
                <w:rtl w:val="0"/>
              </w:rPr>
              <w:t>Autres informations de sécurité</w:t>
            </w:r>
          </w:p>
        </w:tc>
      </w:tr>
      <w:tr w14:paraId="2F1F1B3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0A"/>
        </w:tc>
        <w:tc>
          <w:p w14:paraId="0000030B"/>
        </w:tc>
        <w:tc>
          <w:p w14:paraId="0000030C">
            <w:r>
              <w:rPr>
                <w:sz w:val="12"/>
                <w:szCs w:val="12"/>
              </w:rPr>
              <w:drawing>
                <wp:inline distT="0" distB="0" distL="0" distR="0">
                  <wp:extent cx="405765" cy="37465"/>
                  <wp:effectExtent l="0" t="0" r="0" b="0"/>
                  <wp:docPr id="59" name="image1.jpg"/>
                  <wp:cNvGraphicFramePr/>
                  <a:graphic xmlns:a="http://schemas.openxmlformats.org/drawingml/2006/main">
                    <a:graphicData uri="http://schemas.openxmlformats.org/drawingml/2006/picture">
                      <pic:pic xmlns:pic="http://schemas.openxmlformats.org/drawingml/2006/picture">
                        <pic:nvPicPr>
                          <pic:cNvPr id="5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0D">
      <w:r>
        <w:rPr>
          <w:rtl w:val="0"/>
        </w:rPr>
        <w:t>Pas de données disponibles</w:t>
      </w:r>
    </w:p>
    <w:tbl>
      <w:tblPr>
        <w:tblStyle w:val="13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568C9D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30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0F">
            <w:pPr>
              <w:jc w:val="center"/>
              <w:rPr>
                <w:b/>
                <w:sz w:val="16"/>
                <w:szCs w:val="16"/>
              </w:rPr>
            </w:pPr>
            <w:r>
              <w:rPr>
                <w:b/>
                <w:sz w:val="16"/>
                <w:szCs w:val="16"/>
                <w:rtl w:val="0"/>
              </w:rPr>
              <w:t>section</w:t>
            </w:r>
          </w:p>
        </w:tc>
        <w:tc>
          <w:tcPr>
            <w:shd w:val="clear" w:color="auto" w:fill="A8D8A7"/>
            <w:vAlign w:val="center"/>
          </w:tcPr>
          <w:p w14:paraId="0000031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10</w:t>
            </w:r>
          </w:p>
        </w:tc>
        <w:tc>
          <w:tcPr>
            <w:shd w:val="clear" w:color="auto" w:fill="A8D8A7"/>
            <w:vAlign w:val="center"/>
          </w:tcPr>
          <w:p w14:paraId="00000311">
            <w:pPr>
              <w:pStyle w:val="2"/>
              <w:spacing w:line="240" w:lineRule="auto"/>
            </w:pPr>
            <w:r>
              <w:rPr>
                <w:rtl w:val="0"/>
              </w:rPr>
              <w:t>Stabilité et réactivité</w:t>
            </w:r>
          </w:p>
        </w:tc>
        <w:tc>
          <w:tcPr>
            <w:shd w:val="clear" w:color="auto" w:fill="A8D8A7"/>
            <w:vAlign w:val="center"/>
          </w:tcPr>
          <w:p w14:paraId="0000031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13"/>
    <w:tbl>
      <w:tblPr>
        <w:tblStyle w:val="13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69CEA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14"/>
        </w:tc>
        <w:tc>
          <w:p w14:paraId="00000315">
            <w:pPr>
              <w:pStyle w:val="3"/>
              <w:spacing w:after="0" w:line="240" w:lineRule="auto"/>
              <w:rPr>
                <w:sz w:val="28"/>
                <w:szCs w:val="28"/>
              </w:rPr>
            </w:pPr>
            <w:r>
              <w:rPr>
                <w:rtl w:val="0"/>
              </w:rPr>
              <w:t>10.1</w:t>
            </w:r>
          </w:p>
        </w:tc>
        <w:tc>
          <w:p w14:paraId="00000316">
            <w:pPr>
              <w:pStyle w:val="3"/>
              <w:spacing w:after="0" w:line="240" w:lineRule="auto"/>
            </w:pPr>
            <w:r>
              <w:rPr>
                <w:rtl w:val="0"/>
              </w:rPr>
              <w:t>Réactivité</w:t>
            </w:r>
          </w:p>
        </w:tc>
      </w:tr>
      <w:tr w14:paraId="229AC9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17"/>
        </w:tc>
        <w:tc>
          <w:p w14:paraId="00000318"/>
        </w:tc>
        <w:tc>
          <w:p w14:paraId="00000319">
            <w:r>
              <w:rPr>
                <w:sz w:val="12"/>
                <w:szCs w:val="12"/>
              </w:rPr>
              <w:drawing>
                <wp:inline distT="0" distB="0" distL="0" distR="0">
                  <wp:extent cx="405765" cy="37465"/>
                  <wp:effectExtent l="0" t="0" r="0" b="0"/>
                  <wp:docPr id="60" name="image1.jpg"/>
                  <wp:cNvGraphicFramePr/>
                  <a:graphic xmlns:a="http://schemas.openxmlformats.org/drawingml/2006/main">
                    <a:graphicData uri="http://schemas.openxmlformats.org/drawingml/2006/picture">
                      <pic:pic xmlns:pic="http://schemas.openxmlformats.org/drawingml/2006/picture">
                        <pic:nvPicPr>
                          <pic:cNvPr id="6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1A">
      <w:r>
        <w:rPr>
          <w:rtl w:val="0"/>
        </w:rPr>
        <w:t>Aucune donnée disponible.</w:t>
      </w:r>
    </w:p>
    <w:tbl>
      <w:tblPr>
        <w:tblStyle w:val="13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2C2E3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1B"/>
        </w:tc>
        <w:tc>
          <w:p w14:paraId="0000031C">
            <w:pPr>
              <w:pStyle w:val="3"/>
              <w:spacing w:after="0" w:line="240" w:lineRule="auto"/>
              <w:rPr>
                <w:sz w:val="28"/>
                <w:szCs w:val="28"/>
              </w:rPr>
            </w:pPr>
            <w:r>
              <w:rPr>
                <w:rtl w:val="0"/>
              </w:rPr>
              <w:t>10.2</w:t>
            </w:r>
          </w:p>
        </w:tc>
        <w:tc>
          <w:p w14:paraId="0000031D">
            <w:pPr>
              <w:pStyle w:val="3"/>
              <w:spacing w:after="0" w:line="240" w:lineRule="auto"/>
            </w:pPr>
            <w:r>
              <w:rPr>
                <w:rtl w:val="0"/>
              </w:rPr>
              <w:t>Stabilité chimique</w:t>
            </w:r>
          </w:p>
        </w:tc>
      </w:tr>
      <w:tr w14:paraId="10E4DC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1E"/>
        </w:tc>
        <w:tc>
          <w:p w14:paraId="0000031F"/>
        </w:tc>
        <w:tc>
          <w:p w14:paraId="00000320">
            <w:r>
              <w:rPr>
                <w:sz w:val="12"/>
                <w:szCs w:val="12"/>
              </w:rPr>
              <w:drawing>
                <wp:inline distT="0" distB="0" distL="0" distR="0">
                  <wp:extent cx="405765" cy="37465"/>
                  <wp:effectExtent l="0" t="0" r="0" b="0"/>
                  <wp:docPr id="61" name="image1.jpg"/>
                  <wp:cNvGraphicFramePr/>
                  <a:graphic xmlns:a="http://schemas.openxmlformats.org/drawingml/2006/main">
                    <a:graphicData uri="http://schemas.openxmlformats.org/drawingml/2006/picture">
                      <pic:pic xmlns:pic="http://schemas.openxmlformats.org/drawingml/2006/picture">
                        <pic:nvPicPr>
                          <pic:cNvPr id="6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21">
      <w:r>
        <w:rPr>
          <w:rtl w:val="0"/>
        </w:rPr>
        <w:t>Le produit est stable avec un stockage à des températures ambiantes normales.</w:t>
      </w:r>
    </w:p>
    <w:tbl>
      <w:tblPr>
        <w:tblStyle w:val="14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EED5B0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22"/>
        </w:tc>
        <w:tc>
          <w:p w14:paraId="00000323">
            <w:pPr>
              <w:pStyle w:val="3"/>
              <w:spacing w:after="0" w:line="240" w:lineRule="auto"/>
              <w:rPr>
                <w:sz w:val="28"/>
                <w:szCs w:val="28"/>
              </w:rPr>
            </w:pPr>
            <w:r>
              <w:rPr>
                <w:rtl w:val="0"/>
              </w:rPr>
              <w:t>10.3</w:t>
            </w:r>
          </w:p>
        </w:tc>
        <w:tc>
          <w:p w14:paraId="00000324">
            <w:pPr>
              <w:pStyle w:val="3"/>
              <w:spacing w:after="0" w:line="240" w:lineRule="auto"/>
            </w:pPr>
            <w:r>
              <w:rPr>
                <w:rtl w:val="0"/>
              </w:rPr>
              <w:t>Possibilité de réactions dangereuses</w:t>
            </w:r>
          </w:p>
        </w:tc>
      </w:tr>
      <w:tr w14:paraId="3A2BA3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25"/>
        </w:tc>
        <w:tc>
          <w:p w14:paraId="00000326"/>
        </w:tc>
        <w:tc>
          <w:p w14:paraId="00000327">
            <w:r>
              <w:rPr>
                <w:sz w:val="12"/>
                <w:szCs w:val="12"/>
              </w:rPr>
              <w:drawing>
                <wp:inline distT="0" distB="0" distL="0" distR="0">
                  <wp:extent cx="405765" cy="37465"/>
                  <wp:effectExtent l="0" t="0" r="0" b="0"/>
                  <wp:docPr id="62" name="image1.jpg"/>
                  <wp:cNvGraphicFramePr/>
                  <a:graphic xmlns:a="http://schemas.openxmlformats.org/drawingml/2006/main">
                    <a:graphicData uri="http://schemas.openxmlformats.org/drawingml/2006/picture">
                      <pic:pic xmlns:pic="http://schemas.openxmlformats.org/drawingml/2006/picture">
                        <pic:nvPicPr>
                          <pic:cNvPr id="6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28">
      <w:r>
        <w:rPr>
          <w:rtl w:val="0"/>
        </w:rPr>
        <w:t>Aucune réaction dangereuse quand manipulé et stocké conformément aux dispositions recommandées.</w:t>
      </w:r>
    </w:p>
    <w:tbl>
      <w:tblPr>
        <w:tblStyle w:val="14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BB643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29"/>
        </w:tc>
        <w:tc>
          <w:p w14:paraId="0000032A">
            <w:pPr>
              <w:pStyle w:val="3"/>
              <w:spacing w:after="0" w:line="240" w:lineRule="auto"/>
              <w:rPr>
                <w:sz w:val="28"/>
                <w:szCs w:val="28"/>
              </w:rPr>
            </w:pPr>
            <w:r>
              <w:rPr>
                <w:rtl w:val="0"/>
              </w:rPr>
              <w:t>10.4</w:t>
            </w:r>
          </w:p>
        </w:tc>
        <w:tc>
          <w:p w14:paraId="0000032B">
            <w:pPr>
              <w:pStyle w:val="3"/>
              <w:spacing w:after="0" w:line="240" w:lineRule="auto"/>
            </w:pPr>
            <w:r>
              <w:rPr>
                <w:rtl w:val="0"/>
              </w:rPr>
              <w:t>Conditions à éviter</w:t>
            </w:r>
          </w:p>
        </w:tc>
      </w:tr>
      <w:tr w14:paraId="0627D4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2C"/>
        </w:tc>
        <w:tc>
          <w:p w14:paraId="0000032D"/>
        </w:tc>
        <w:tc>
          <w:p w14:paraId="0000032E">
            <w:r>
              <w:rPr>
                <w:sz w:val="12"/>
                <w:szCs w:val="12"/>
              </w:rPr>
              <w:drawing>
                <wp:inline distT="0" distB="0" distL="0" distR="0">
                  <wp:extent cx="405765" cy="37465"/>
                  <wp:effectExtent l="0" t="0" r="0" b="0"/>
                  <wp:docPr id="63" name="image1.jpg"/>
                  <wp:cNvGraphicFramePr/>
                  <a:graphic xmlns:a="http://schemas.openxmlformats.org/drawingml/2006/main">
                    <a:graphicData uri="http://schemas.openxmlformats.org/drawingml/2006/picture">
                      <pic:pic xmlns:pic="http://schemas.openxmlformats.org/drawingml/2006/picture">
                        <pic:nvPicPr>
                          <pic:cNvPr id="6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2F">
      <w:r>
        <w:rPr>
          <w:rtl w:val="0"/>
        </w:rPr>
        <w:t>Aucune donnée disponible.</w:t>
      </w:r>
    </w:p>
    <w:tbl>
      <w:tblPr>
        <w:tblStyle w:val="14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62EAC7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30"/>
        </w:tc>
        <w:tc>
          <w:p w14:paraId="00000331">
            <w:pPr>
              <w:pStyle w:val="3"/>
              <w:spacing w:after="0" w:line="240" w:lineRule="auto"/>
              <w:rPr>
                <w:sz w:val="28"/>
                <w:szCs w:val="28"/>
              </w:rPr>
            </w:pPr>
            <w:r>
              <w:rPr>
                <w:rtl w:val="0"/>
              </w:rPr>
              <w:t>10.5</w:t>
            </w:r>
          </w:p>
        </w:tc>
        <w:tc>
          <w:p w14:paraId="00000332">
            <w:pPr>
              <w:pStyle w:val="3"/>
              <w:spacing w:after="0" w:line="240" w:lineRule="auto"/>
            </w:pPr>
            <w:r>
              <w:rPr>
                <w:rtl w:val="0"/>
              </w:rPr>
              <w:t>Matières incompatibles</w:t>
            </w:r>
          </w:p>
        </w:tc>
      </w:tr>
      <w:tr w14:paraId="78E92B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33"/>
        </w:tc>
        <w:tc>
          <w:p w14:paraId="00000334"/>
        </w:tc>
        <w:tc>
          <w:p w14:paraId="00000335">
            <w:r>
              <w:rPr>
                <w:sz w:val="12"/>
                <w:szCs w:val="12"/>
              </w:rPr>
              <w:drawing>
                <wp:inline distT="0" distB="0" distL="0" distR="0">
                  <wp:extent cx="405765" cy="37465"/>
                  <wp:effectExtent l="0" t="0" r="0" b="0"/>
                  <wp:docPr id="64" name="image1.jpg"/>
                  <wp:cNvGraphicFramePr/>
                  <a:graphic xmlns:a="http://schemas.openxmlformats.org/drawingml/2006/main">
                    <a:graphicData uri="http://schemas.openxmlformats.org/drawingml/2006/picture">
                      <pic:pic xmlns:pic="http://schemas.openxmlformats.org/drawingml/2006/picture">
                        <pic:nvPicPr>
                          <pic:cNvPr id="6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36">
      <w:r>
        <w:rPr>
          <w:rtl w:val="0"/>
        </w:rPr>
        <w:t>Aucune donnée disponible.</w:t>
      </w:r>
    </w:p>
    <w:tbl>
      <w:tblPr>
        <w:tblStyle w:val="14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F698EF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37"/>
        </w:tc>
        <w:tc>
          <w:p w14:paraId="00000338">
            <w:pPr>
              <w:pStyle w:val="3"/>
              <w:spacing w:after="0" w:line="240" w:lineRule="auto"/>
              <w:rPr>
                <w:sz w:val="28"/>
                <w:szCs w:val="28"/>
              </w:rPr>
            </w:pPr>
            <w:r>
              <w:rPr>
                <w:rtl w:val="0"/>
              </w:rPr>
              <w:t>10.6</w:t>
            </w:r>
          </w:p>
        </w:tc>
        <w:tc>
          <w:p w14:paraId="00000339">
            <w:pPr>
              <w:pStyle w:val="3"/>
              <w:spacing w:after="0" w:line="240" w:lineRule="auto"/>
            </w:pPr>
            <w:r>
              <w:rPr>
                <w:rtl w:val="0"/>
              </w:rPr>
              <w:t>Produits de décomposition dangereux</w:t>
            </w:r>
          </w:p>
        </w:tc>
      </w:tr>
      <w:tr w14:paraId="4C776E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3A"/>
        </w:tc>
        <w:tc>
          <w:p w14:paraId="0000033B"/>
        </w:tc>
        <w:tc>
          <w:p w14:paraId="0000033C">
            <w:r>
              <w:rPr>
                <w:sz w:val="12"/>
                <w:szCs w:val="12"/>
              </w:rPr>
              <w:drawing>
                <wp:inline distT="0" distB="0" distL="0" distR="0">
                  <wp:extent cx="405765" cy="37465"/>
                  <wp:effectExtent l="0" t="0" r="0" b="0"/>
                  <wp:docPr id="65" name="image1.jpg"/>
                  <wp:cNvGraphicFramePr/>
                  <a:graphic xmlns:a="http://schemas.openxmlformats.org/drawingml/2006/main">
                    <a:graphicData uri="http://schemas.openxmlformats.org/drawingml/2006/picture">
                      <pic:pic xmlns:pic="http://schemas.openxmlformats.org/drawingml/2006/picture">
                        <pic:nvPicPr>
                          <pic:cNvPr id="6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3D">
      <w:r>
        <w:rPr>
          <w:rtl w:val="0"/>
        </w:rPr>
        <w:t>Ne se décompose pas quand utilisé conformément aux utilisations prévues.</w:t>
      </w:r>
    </w:p>
    <w:tbl>
      <w:tblPr>
        <w:tblStyle w:val="14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263313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3E"/>
        </w:tc>
        <w:tc>
          <w:p w14:paraId="0000033F">
            <w:pPr>
              <w:pStyle w:val="3"/>
              <w:spacing w:after="0" w:line="240" w:lineRule="auto"/>
              <w:rPr>
                <w:sz w:val="28"/>
                <w:szCs w:val="28"/>
              </w:rPr>
            </w:pPr>
            <w:r>
              <w:rPr>
                <w:rtl w:val="0"/>
              </w:rPr>
              <w:t>10.7</w:t>
            </w:r>
          </w:p>
        </w:tc>
        <w:tc>
          <w:p w14:paraId="00000340">
            <w:pPr>
              <w:pStyle w:val="3"/>
              <w:spacing w:after="0" w:line="240" w:lineRule="auto"/>
            </w:pPr>
            <w:r>
              <w:rPr>
                <w:rtl w:val="0"/>
              </w:rPr>
              <w:t>Informations complémentaires</w:t>
            </w:r>
          </w:p>
        </w:tc>
      </w:tr>
      <w:tr w14:paraId="2B7053B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41"/>
        </w:tc>
        <w:tc>
          <w:p w14:paraId="00000342"/>
        </w:tc>
        <w:tc>
          <w:p w14:paraId="00000343">
            <w:r>
              <w:rPr>
                <w:sz w:val="12"/>
                <w:szCs w:val="12"/>
              </w:rPr>
              <w:drawing>
                <wp:inline distT="0" distB="0" distL="0" distR="0">
                  <wp:extent cx="405765" cy="37465"/>
                  <wp:effectExtent l="0" t="0" r="0" b="0"/>
                  <wp:docPr id="66" name="image1.jpg"/>
                  <wp:cNvGraphicFramePr/>
                  <a:graphic xmlns:a="http://schemas.openxmlformats.org/drawingml/2006/main">
                    <a:graphicData uri="http://schemas.openxmlformats.org/drawingml/2006/picture">
                      <pic:pic xmlns:pic="http://schemas.openxmlformats.org/drawingml/2006/picture">
                        <pic:nvPicPr>
                          <pic:cNvPr id="6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44">
      <w:r>
        <w:rPr>
          <w:rtl w:val="0"/>
        </w:rPr>
        <w:t>Pas de données disponibles</w:t>
      </w:r>
    </w:p>
    <w:tbl>
      <w:tblPr>
        <w:tblStyle w:val="14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5F591FE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3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46">
            <w:pPr>
              <w:jc w:val="center"/>
              <w:rPr>
                <w:b/>
                <w:sz w:val="16"/>
                <w:szCs w:val="16"/>
              </w:rPr>
            </w:pPr>
            <w:r>
              <w:rPr>
                <w:b/>
                <w:sz w:val="16"/>
                <w:szCs w:val="16"/>
                <w:rtl w:val="0"/>
              </w:rPr>
              <w:t>section</w:t>
            </w:r>
          </w:p>
        </w:tc>
        <w:tc>
          <w:tcPr>
            <w:shd w:val="clear" w:color="auto" w:fill="A8D8A7"/>
            <w:vAlign w:val="center"/>
          </w:tcPr>
          <w:p w14:paraId="000003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11</w:t>
            </w:r>
          </w:p>
        </w:tc>
        <w:tc>
          <w:tcPr>
            <w:shd w:val="clear" w:color="auto" w:fill="A8D8A7"/>
            <w:vAlign w:val="center"/>
          </w:tcPr>
          <w:p w14:paraId="00000348">
            <w:pPr>
              <w:pStyle w:val="2"/>
              <w:spacing w:line="240" w:lineRule="auto"/>
            </w:pPr>
            <w:r>
              <w:rPr>
                <w:rtl w:val="0"/>
              </w:rPr>
              <w:t>Informations toxicologiques</w:t>
            </w:r>
          </w:p>
        </w:tc>
        <w:tc>
          <w:tcPr>
            <w:shd w:val="clear" w:color="auto" w:fill="A8D8A7"/>
            <w:vAlign w:val="center"/>
          </w:tcPr>
          <w:p w14:paraId="000003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4A"/>
    <w:tbl>
      <w:tblPr>
        <w:tblStyle w:val="14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7EF89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4B"/>
        </w:tc>
        <w:tc>
          <w:p w14:paraId="0000034C">
            <w:pPr>
              <w:pStyle w:val="3"/>
              <w:spacing w:after="0" w:line="240" w:lineRule="auto"/>
              <w:rPr>
                <w:sz w:val="28"/>
                <w:szCs w:val="28"/>
              </w:rPr>
            </w:pPr>
            <w:r>
              <w:rPr>
                <w:rtl w:val="0"/>
              </w:rPr>
              <w:t>11.1</w:t>
            </w:r>
          </w:p>
        </w:tc>
        <w:tc>
          <w:p w14:paraId="0000034D">
            <w:pPr>
              <w:pStyle w:val="3"/>
              <w:spacing w:after="0" w:line="240" w:lineRule="auto"/>
            </w:pPr>
            <w:r>
              <w:rPr>
                <w:rtl w:val="0"/>
              </w:rPr>
              <w:t>Toxicité orale aiguë</w:t>
            </w:r>
          </w:p>
        </w:tc>
      </w:tr>
      <w:tr w14:paraId="516E9A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4E"/>
        </w:tc>
        <w:tc>
          <w:p w14:paraId="0000034F"/>
        </w:tc>
        <w:tc>
          <w:p w14:paraId="00000350">
            <w:r>
              <w:rPr>
                <w:sz w:val="12"/>
                <w:szCs w:val="12"/>
              </w:rPr>
              <w:drawing>
                <wp:inline distT="0" distB="0" distL="0" distR="0">
                  <wp:extent cx="405765" cy="37465"/>
                  <wp:effectExtent l="0" t="0" r="0" b="0"/>
                  <wp:docPr id="67" name="image1.jpg"/>
                  <wp:cNvGraphicFramePr/>
                  <a:graphic xmlns:a="http://schemas.openxmlformats.org/drawingml/2006/main">
                    <a:graphicData uri="http://schemas.openxmlformats.org/drawingml/2006/picture">
                      <pic:pic xmlns:pic="http://schemas.openxmlformats.org/drawingml/2006/picture">
                        <pic:nvPicPr>
                          <pic:cNvPr id="6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51">
      <w:r>
        <w:rPr>
          <w:rtl w:val="0"/>
        </w:rPr>
        <w:t>Le produit n'est pas classé.</w:t>
      </w:r>
    </w:p>
    <w:p w14:paraId="00000352">
      <w:pPr>
        <w:pStyle w:val="4"/>
      </w:pPr>
      <w:r>
        <w:rPr>
          <w:b/>
          <w:color w:val="000000"/>
          <w:rtl w:val="0"/>
        </w:rPr>
        <w:t>Données sur le mélange</w:t>
      </w:r>
      <w:r>
        <w:rPr>
          <w:rtl w:val="0"/>
        </w:rPr>
        <w:t xml:space="preserve"> : </w:t>
      </w:r>
    </w:p>
    <w:p w14:paraId="00000353">
      <w:r>
        <w:rPr>
          <w:rtl w:val="0"/>
        </w:rPr>
        <w:t>Pas de données disponibles</w:t>
      </w:r>
    </w:p>
    <w:p w14:paraId="00000354">
      <w:pPr>
        <w:pStyle w:val="4"/>
      </w:pPr>
      <w:r>
        <w:rPr>
          <w:b/>
          <w:color w:val="000000"/>
          <w:rtl w:val="0"/>
        </w:rPr>
        <w:t>Substances</w:t>
      </w:r>
      <w:r>
        <w:rPr>
          <w:rtl w:val="0"/>
        </w:rPr>
        <w:t xml:space="preserve"> : </w:t>
      </w:r>
    </w:p>
    <w:p w14:paraId="00000355">
      <w:r>
        <w:rPr>
          <w:rtl w:val="0"/>
        </w:rPr>
        <w:t>Pas de données disponibles</w:t>
      </w:r>
    </w:p>
    <w:tbl>
      <w:tblPr>
        <w:tblStyle w:val="14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E6146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56"/>
        </w:tc>
        <w:tc>
          <w:p w14:paraId="00000357">
            <w:pPr>
              <w:pStyle w:val="3"/>
              <w:spacing w:after="0" w:line="240" w:lineRule="auto"/>
              <w:rPr>
                <w:sz w:val="28"/>
                <w:szCs w:val="28"/>
              </w:rPr>
            </w:pPr>
            <w:r>
              <w:rPr>
                <w:rtl w:val="0"/>
              </w:rPr>
              <w:t>11.2</w:t>
            </w:r>
          </w:p>
        </w:tc>
        <w:tc>
          <w:p w14:paraId="00000358">
            <w:pPr>
              <w:pStyle w:val="3"/>
              <w:spacing w:after="0" w:line="240" w:lineRule="auto"/>
            </w:pPr>
            <w:r>
              <w:rPr>
                <w:rtl w:val="0"/>
              </w:rPr>
              <w:t>Toxicité aiguë par voie cutanée</w:t>
            </w:r>
          </w:p>
        </w:tc>
      </w:tr>
      <w:tr w14:paraId="299324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59"/>
        </w:tc>
        <w:tc>
          <w:p w14:paraId="0000035A"/>
        </w:tc>
        <w:tc>
          <w:p w14:paraId="0000035B">
            <w:r>
              <w:rPr>
                <w:sz w:val="12"/>
                <w:szCs w:val="12"/>
              </w:rPr>
              <w:drawing>
                <wp:inline distT="0" distB="0" distL="0" distR="0">
                  <wp:extent cx="405765" cy="37465"/>
                  <wp:effectExtent l="0" t="0" r="0" b="0"/>
                  <wp:docPr id="48" name="image1.jpg"/>
                  <wp:cNvGraphicFramePr/>
                  <a:graphic xmlns:a="http://schemas.openxmlformats.org/drawingml/2006/main">
                    <a:graphicData uri="http://schemas.openxmlformats.org/drawingml/2006/picture">
                      <pic:pic xmlns:pic="http://schemas.openxmlformats.org/drawingml/2006/picture">
                        <pic:nvPicPr>
                          <pic:cNvPr id="4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5C">
      <w:r>
        <w:rPr>
          <w:rtl w:val="0"/>
        </w:rPr>
        <w:t>Le produit n'est pas classé.</w:t>
      </w:r>
    </w:p>
    <w:p w14:paraId="0000035D">
      <w:pPr>
        <w:pStyle w:val="4"/>
      </w:pPr>
      <w:r>
        <w:rPr>
          <w:b/>
          <w:color w:val="000000"/>
          <w:rtl w:val="0"/>
        </w:rPr>
        <w:t>Données sur le mélange</w:t>
      </w:r>
      <w:r>
        <w:rPr>
          <w:rtl w:val="0"/>
        </w:rPr>
        <w:t xml:space="preserve"> : </w:t>
      </w:r>
    </w:p>
    <w:p w14:paraId="0000035E">
      <w:r>
        <w:rPr>
          <w:rtl w:val="0"/>
        </w:rPr>
        <w:t>Pas de données disponibles</w:t>
      </w:r>
    </w:p>
    <w:p w14:paraId="0000035F">
      <w:pPr>
        <w:pStyle w:val="4"/>
      </w:pPr>
      <w:r>
        <w:rPr>
          <w:b/>
          <w:color w:val="000000"/>
          <w:rtl w:val="0"/>
        </w:rPr>
        <w:t>Substances</w:t>
      </w:r>
      <w:r>
        <w:rPr>
          <w:rtl w:val="0"/>
        </w:rPr>
        <w:t xml:space="preserve"> : </w:t>
      </w:r>
    </w:p>
    <w:p w14:paraId="00000360">
      <w:r>
        <w:rPr>
          <w:rtl w:val="0"/>
        </w:rPr>
        <w:t>Pas de données disponibles</w:t>
      </w:r>
    </w:p>
    <w:tbl>
      <w:tblPr>
        <w:tblStyle w:val="14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0607C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61"/>
        </w:tc>
        <w:tc>
          <w:p w14:paraId="00000362">
            <w:pPr>
              <w:pStyle w:val="3"/>
              <w:spacing w:after="0" w:line="240" w:lineRule="auto"/>
              <w:rPr>
                <w:sz w:val="28"/>
                <w:szCs w:val="28"/>
              </w:rPr>
            </w:pPr>
            <w:r>
              <w:rPr>
                <w:rtl w:val="0"/>
              </w:rPr>
              <w:t>11.3</w:t>
            </w:r>
          </w:p>
        </w:tc>
        <w:tc>
          <w:p w14:paraId="00000363">
            <w:pPr>
              <w:pStyle w:val="3"/>
              <w:spacing w:after="0" w:line="240" w:lineRule="auto"/>
            </w:pPr>
            <w:r>
              <w:rPr>
                <w:rtl w:val="0"/>
              </w:rPr>
              <w:t>Toxicité aiguë par inhalation</w:t>
            </w:r>
          </w:p>
        </w:tc>
      </w:tr>
      <w:tr w14:paraId="2BA43C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64"/>
        </w:tc>
        <w:tc>
          <w:p w14:paraId="00000365"/>
        </w:tc>
        <w:tc>
          <w:p w14:paraId="00000366">
            <w:r>
              <w:rPr>
                <w:sz w:val="12"/>
                <w:szCs w:val="12"/>
              </w:rPr>
              <w:drawing>
                <wp:inline distT="0" distB="0" distL="0" distR="0">
                  <wp:extent cx="405765" cy="37465"/>
                  <wp:effectExtent l="0" t="0" r="0" b="0"/>
                  <wp:docPr id="49" name="image1.jpg"/>
                  <wp:cNvGraphicFramePr/>
                  <a:graphic xmlns:a="http://schemas.openxmlformats.org/drawingml/2006/main">
                    <a:graphicData uri="http://schemas.openxmlformats.org/drawingml/2006/picture">
                      <pic:pic xmlns:pic="http://schemas.openxmlformats.org/drawingml/2006/picture">
                        <pic:nvPicPr>
                          <pic:cNvPr id="4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67">
      <w:r>
        <w:rPr>
          <w:rtl w:val="0"/>
        </w:rPr>
        <w:t>Le produit n'est pas classé.</w:t>
      </w:r>
    </w:p>
    <w:p w14:paraId="00000368">
      <w:pPr>
        <w:pStyle w:val="4"/>
      </w:pPr>
      <w:r>
        <w:rPr>
          <w:b/>
          <w:color w:val="000000"/>
          <w:rtl w:val="0"/>
        </w:rPr>
        <w:t>Données sur le mélange</w:t>
      </w:r>
      <w:r>
        <w:rPr>
          <w:rtl w:val="0"/>
        </w:rPr>
        <w:t xml:space="preserve"> : </w:t>
      </w:r>
    </w:p>
    <w:p w14:paraId="00000369">
      <w:r>
        <w:rPr>
          <w:rtl w:val="0"/>
        </w:rPr>
        <w:t>Pas de données disponibles</w:t>
      </w:r>
    </w:p>
    <w:p w14:paraId="0000036A">
      <w:pPr>
        <w:pStyle w:val="4"/>
      </w:pPr>
      <w:r>
        <w:rPr>
          <w:b/>
          <w:color w:val="000000"/>
          <w:rtl w:val="0"/>
        </w:rPr>
        <w:t>Substances</w:t>
      </w:r>
      <w:r>
        <w:rPr>
          <w:rtl w:val="0"/>
        </w:rPr>
        <w:t xml:space="preserve"> : </w:t>
      </w:r>
    </w:p>
    <w:p w14:paraId="0000036B">
      <w:r>
        <w:rPr>
          <w:rtl w:val="0"/>
        </w:rPr>
        <w:t>Pas de données disponibles</w:t>
      </w:r>
    </w:p>
    <w:tbl>
      <w:tblPr>
        <w:tblStyle w:val="14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CD6118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6C"/>
        </w:tc>
        <w:tc>
          <w:p w14:paraId="0000036D">
            <w:pPr>
              <w:pStyle w:val="3"/>
              <w:spacing w:after="0" w:line="240" w:lineRule="auto"/>
              <w:rPr>
                <w:sz w:val="28"/>
                <w:szCs w:val="28"/>
              </w:rPr>
            </w:pPr>
            <w:r>
              <w:rPr>
                <w:rtl w:val="0"/>
              </w:rPr>
              <w:t>11.4</w:t>
            </w:r>
          </w:p>
        </w:tc>
        <w:tc>
          <w:p w14:paraId="0000036E">
            <w:pPr>
              <w:pStyle w:val="3"/>
              <w:spacing w:after="0" w:line="240" w:lineRule="auto"/>
            </w:pPr>
            <w:r>
              <w:rPr>
                <w:rtl w:val="0"/>
              </w:rPr>
              <w:t>Corrosion/irritation cutanée</w:t>
            </w:r>
          </w:p>
        </w:tc>
      </w:tr>
      <w:tr w14:paraId="5BDCDB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6F"/>
        </w:tc>
        <w:tc>
          <w:p w14:paraId="00000370"/>
        </w:tc>
        <w:tc>
          <w:p w14:paraId="00000371">
            <w:r>
              <w:rPr>
                <w:sz w:val="12"/>
                <w:szCs w:val="12"/>
              </w:rPr>
              <w:drawing>
                <wp:inline distT="0" distB="0" distL="0" distR="0">
                  <wp:extent cx="405765" cy="37465"/>
                  <wp:effectExtent l="0" t="0" r="0" b="0"/>
                  <wp:docPr id="50" name="image1.jpg"/>
                  <wp:cNvGraphicFramePr/>
                  <a:graphic xmlns:a="http://schemas.openxmlformats.org/drawingml/2006/main">
                    <a:graphicData uri="http://schemas.openxmlformats.org/drawingml/2006/picture">
                      <pic:pic xmlns:pic="http://schemas.openxmlformats.org/drawingml/2006/picture">
                        <pic:nvPicPr>
                          <pic:cNvPr id="5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72">
      <w:r>
        <w:rPr>
          <w:rtl w:val="0"/>
        </w:rPr>
        <w:t>Le produit n'est pas classé.</w:t>
      </w:r>
    </w:p>
    <w:p w14:paraId="00000373">
      <w:pPr>
        <w:pStyle w:val="4"/>
      </w:pPr>
      <w:r>
        <w:rPr>
          <w:b/>
          <w:color w:val="000000"/>
          <w:rtl w:val="0"/>
        </w:rPr>
        <w:t>Données sur le mélange</w:t>
      </w:r>
      <w:r>
        <w:rPr>
          <w:rtl w:val="0"/>
        </w:rPr>
        <w:t xml:space="preserve"> : </w:t>
      </w:r>
    </w:p>
    <w:p w14:paraId="00000374">
      <w:r>
        <w:rPr>
          <w:rtl w:val="0"/>
        </w:rPr>
        <w:t>Pas de données disponibles</w:t>
      </w:r>
    </w:p>
    <w:p w14:paraId="00000375">
      <w:pPr>
        <w:pStyle w:val="4"/>
      </w:pPr>
      <w:r>
        <w:rPr>
          <w:b/>
          <w:color w:val="000000"/>
          <w:rtl w:val="0"/>
        </w:rPr>
        <w:t>Substances</w:t>
      </w:r>
      <w:r>
        <w:rPr>
          <w:rtl w:val="0"/>
        </w:rPr>
        <w:t xml:space="preserve"> : </w:t>
      </w:r>
    </w:p>
    <w:p w14:paraId="00000376">
      <w:r>
        <w:rPr>
          <w:rtl w:val="0"/>
        </w:rPr>
        <w:t>Pas de données disponibles</w:t>
      </w:r>
    </w:p>
    <w:tbl>
      <w:tblPr>
        <w:tblStyle w:val="15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6AF1B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77"/>
        </w:tc>
        <w:tc>
          <w:p w14:paraId="00000378">
            <w:pPr>
              <w:pStyle w:val="3"/>
              <w:spacing w:after="0" w:line="240" w:lineRule="auto"/>
              <w:rPr>
                <w:sz w:val="28"/>
                <w:szCs w:val="28"/>
              </w:rPr>
            </w:pPr>
            <w:r>
              <w:rPr>
                <w:rtl w:val="0"/>
              </w:rPr>
              <w:t>11.5</w:t>
            </w:r>
          </w:p>
        </w:tc>
        <w:tc>
          <w:p w14:paraId="00000379">
            <w:pPr>
              <w:pStyle w:val="3"/>
              <w:spacing w:after="0" w:line="240" w:lineRule="auto"/>
            </w:pPr>
            <w:r>
              <w:rPr>
                <w:rtl w:val="0"/>
              </w:rPr>
              <w:t>Lésions oculaires graves/irritation</w:t>
            </w:r>
          </w:p>
        </w:tc>
      </w:tr>
      <w:tr w14:paraId="79188BA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7A"/>
        </w:tc>
        <w:tc>
          <w:p w14:paraId="0000037B"/>
        </w:tc>
        <w:tc>
          <w:p w14:paraId="0000037C">
            <w:r>
              <w:rPr>
                <w:sz w:val="12"/>
                <w:szCs w:val="12"/>
              </w:rPr>
              <w:drawing>
                <wp:inline distT="0" distB="0" distL="0" distR="0">
                  <wp:extent cx="405765" cy="37465"/>
                  <wp:effectExtent l="0" t="0" r="0" b="0"/>
                  <wp:docPr id="51" name="image1.jpg"/>
                  <wp:cNvGraphicFramePr/>
                  <a:graphic xmlns:a="http://schemas.openxmlformats.org/drawingml/2006/main">
                    <a:graphicData uri="http://schemas.openxmlformats.org/drawingml/2006/picture">
                      <pic:pic xmlns:pic="http://schemas.openxmlformats.org/drawingml/2006/picture">
                        <pic:nvPicPr>
                          <pic:cNvPr id="5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7D">
      <w:r>
        <w:rPr>
          <w:rtl w:val="0"/>
        </w:rPr>
        <w:t>Le produit n'est pas classé.</w:t>
      </w:r>
    </w:p>
    <w:p w14:paraId="0000037E">
      <w:pPr>
        <w:pStyle w:val="4"/>
      </w:pPr>
      <w:r>
        <w:rPr>
          <w:b/>
          <w:color w:val="000000"/>
          <w:rtl w:val="0"/>
        </w:rPr>
        <w:t>Données sur le mélange</w:t>
      </w:r>
      <w:r>
        <w:rPr>
          <w:rtl w:val="0"/>
        </w:rPr>
        <w:t xml:space="preserve"> : </w:t>
      </w:r>
    </w:p>
    <w:p w14:paraId="0000037F">
      <w:r>
        <w:rPr>
          <w:rtl w:val="0"/>
        </w:rPr>
        <w:t>Pas de données disponibles</w:t>
      </w:r>
    </w:p>
    <w:p w14:paraId="00000380">
      <w:pPr>
        <w:pStyle w:val="4"/>
      </w:pPr>
      <w:r>
        <w:rPr>
          <w:b/>
          <w:color w:val="000000"/>
          <w:rtl w:val="0"/>
        </w:rPr>
        <w:t>Substances</w:t>
      </w:r>
      <w:r>
        <w:rPr>
          <w:rtl w:val="0"/>
        </w:rPr>
        <w:t xml:space="preserve"> : </w:t>
      </w:r>
    </w:p>
    <w:p w14:paraId="00000381">
      <w:r>
        <w:rPr>
          <w:rtl w:val="0"/>
        </w:rPr>
        <w:t>Pas de données disponibles</w:t>
      </w:r>
    </w:p>
    <w:tbl>
      <w:tblPr>
        <w:tblStyle w:val="15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C1C2E9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82"/>
        </w:tc>
        <w:tc>
          <w:p w14:paraId="00000383">
            <w:pPr>
              <w:pStyle w:val="3"/>
              <w:spacing w:after="0" w:line="240" w:lineRule="auto"/>
              <w:rPr>
                <w:sz w:val="28"/>
                <w:szCs w:val="28"/>
              </w:rPr>
            </w:pPr>
            <w:r>
              <w:rPr>
                <w:rtl w:val="0"/>
              </w:rPr>
              <w:t>11.6</w:t>
            </w:r>
          </w:p>
        </w:tc>
        <w:tc>
          <w:p w14:paraId="00000384">
            <w:pPr>
              <w:pStyle w:val="3"/>
              <w:spacing w:after="0" w:line="240" w:lineRule="auto"/>
            </w:pPr>
            <w:r>
              <w:rPr>
                <w:rtl w:val="0"/>
              </w:rPr>
              <w:t>Sensibilisation de la peau</w:t>
            </w:r>
          </w:p>
        </w:tc>
      </w:tr>
      <w:tr w14:paraId="73A260A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85"/>
        </w:tc>
        <w:tc>
          <w:p w14:paraId="00000386"/>
        </w:tc>
        <w:tc>
          <w:p w14:paraId="00000387">
            <w:r>
              <w:rPr>
                <w:sz w:val="12"/>
                <w:szCs w:val="12"/>
              </w:rPr>
              <w:drawing>
                <wp:inline distT="0" distB="0" distL="0" distR="0">
                  <wp:extent cx="405765" cy="37465"/>
                  <wp:effectExtent l="0" t="0" r="0" b="0"/>
                  <wp:docPr id="52" name="image1.jpg"/>
                  <wp:cNvGraphicFramePr/>
                  <a:graphic xmlns:a="http://schemas.openxmlformats.org/drawingml/2006/main">
                    <a:graphicData uri="http://schemas.openxmlformats.org/drawingml/2006/picture">
                      <pic:pic xmlns:pic="http://schemas.openxmlformats.org/drawingml/2006/picture">
                        <pic:nvPicPr>
                          <pic:cNvPr id="5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88">
      <w:r>
        <w:rPr>
          <w:rtl w:val="0"/>
        </w:rPr>
        <w:t>Le produit est classé Skin Sens. 1B selon le réglement de référence.</w:t>
      </w:r>
    </w:p>
    <w:p w14:paraId="00000389">
      <w:r>
        <w:rPr>
          <w:rtl w:val="0"/>
        </w:rPr>
        <w:t>Peut provoquer une allergie cutanée.</w:t>
      </w:r>
    </w:p>
    <w:p w14:paraId="0000038A">
      <w:pPr>
        <w:pStyle w:val="4"/>
      </w:pPr>
      <w:r>
        <w:rPr>
          <w:b/>
          <w:color w:val="000000"/>
          <w:rtl w:val="0"/>
        </w:rPr>
        <w:t>Données sur le mélange</w:t>
      </w:r>
      <w:r>
        <w:rPr>
          <w:rtl w:val="0"/>
        </w:rPr>
        <w:t xml:space="preserve"> : </w:t>
      </w:r>
    </w:p>
    <w:p w14:paraId="0000038B">
      <w:r>
        <w:rPr>
          <w:rtl w:val="0"/>
        </w:rPr>
        <w:t>Pas de données disponibles</w:t>
      </w:r>
    </w:p>
    <w:p w14:paraId="0000038C">
      <w:pPr>
        <w:pStyle w:val="4"/>
      </w:pPr>
      <w:r>
        <w:rPr>
          <w:b/>
          <w:color w:val="000000"/>
          <w:rtl w:val="0"/>
        </w:rPr>
        <w:t>Substances</w:t>
      </w:r>
      <w:r>
        <w:rPr>
          <w:rtl w:val="0"/>
        </w:rPr>
        <w:t xml:space="preserve"> : </w:t>
      </w:r>
    </w:p>
    <w:p w14:paraId="0000038D">
      <w:r>
        <w:rPr>
          <w:rtl w:val="0"/>
        </w:rPr>
        <w:t>Pas de données disponibles</w:t>
      </w:r>
    </w:p>
    <w:tbl>
      <w:tblPr>
        <w:tblStyle w:val="15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972D9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8E"/>
        </w:tc>
        <w:tc>
          <w:p w14:paraId="0000038F">
            <w:pPr>
              <w:pStyle w:val="3"/>
              <w:spacing w:after="0" w:line="240" w:lineRule="auto"/>
              <w:rPr>
                <w:sz w:val="28"/>
                <w:szCs w:val="28"/>
              </w:rPr>
            </w:pPr>
            <w:r>
              <w:rPr>
                <w:rtl w:val="0"/>
              </w:rPr>
              <w:t>11.7</w:t>
            </w:r>
          </w:p>
        </w:tc>
        <w:tc>
          <w:p w14:paraId="00000390">
            <w:pPr>
              <w:pStyle w:val="3"/>
              <w:spacing w:after="0" w:line="240" w:lineRule="auto"/>
            </w:pPr>
            <w:r>
              <w:rPr>
                <w:rtl w:val="0"/>
              </w:rPr>
              <w:t>Toxicité spécifique pour certains organes cibles (exposition répétée)</w:t>
            </w:r>
          </w:p>
        </w:tc>
      </w:tr>
      <w:tr w14:paraId="3D7FEF2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91"/>
        </w:tc>
        <w:tc>
          <w:p w14:paraId="00000392"/>
        </w:tc>
        <w:tc>
          <w:p w14:paraId="00000393">
            <w:r>
              <w:rPr>
                <w:sz w:val="12"/>
                <w:szCs w:val="12"/>
              </w:rPr>
              <w:drawing>
                <wp:inline distT="0" distB="0" distL="0" distR="0">
                  <wp:extent cx="405765" cy="37465"/>
                  <wp:effectExtent l="0" t="0" r="0" b="0"/>
                  <wp:docPr id="53" name="image1.jpg"/>
                  <wp:cNvGraphicFramePr/>
                  <a:graphic xmlns:a="http://schemas.openxmlformats.org/drawingml/2006/main">
                    <a:graphicData uri="http://schemas.openxmlformats.org/drawingml/2006/picture">
                      <pic:pic xmlns:pic="http://schemas.openxmlformats.org/drawingml/2006/picture">
                        <pic:nvPicPr>
                          <pic:cNvPr id="5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94">
      <w:r>
        <w:rPr>
          <w:rtl w:val="0"/>
        </w:rPr>
        <w:t>Le produit n'est pas classé.</w:t>
      </w:r>
    </w:p>
    <w:p w14:paraId="00000395">
      <w:pPr>
        <w:pStyle w:val="4"/>
      </w:pPr>
      <w:r>
        <w:rPr>
          <w:b/>
          <w:color w:val="000000"/>
          <w:rtl w:val="0"/>
        </w:rPr>
        <w:t>Données sur le mélange</w:t>
      </w:r>
      <w:r>
        <w:rPr>
          <w:rtl w:val="0"/>
        </w:rPr>
        <w:t xml:space="preserve"> : </w:t>
      </w:r>
    </w:p>
    <w:p w14:paraId="00000396">
      <w:r>
        <w:rPr>
          <w:rtl w:val="0"/>
        </w:rPr>
        <w:t>Pas de données disponibles</w:t>
      </w:r>
    </w:p>
    <w:p w14:paraId="00000397">
      <w:pPr>
        <w:pStyle w:val="4"/>
      </w:pPr>
      <w:r>
        <w:rPr>
          <w:b/>
          <w:color w:val="000000"/>
          <w:rtl w:val="0"/>
        </w:rPr>
        <w:t>Substances</w:t>
      </w:r>
      <w:r>
        <w:rPr>
          <w:rtl w:val="0"/>
        </w:rPr>
        <w:t xml:space="preserve"> : </w:t>
      </w:r>
    </w:p>
    <w:p w14:paraId="00000398">
      <w:r>
        <w:rPr>
          <w:rtl w:val="0"/>
        </w:rPr>
        <w:t>Pas de données disponibles</w:t>
      </w:r>
    </w:p>
    <w:tbl>
      <w:tblPr>
        <w:tblStyle w:val="15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42D97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99"/>
        </w:tc>
        <w:tc>
          <w:p w14:paraId="0000039A">
            <w:pPr>
              <w:pStyle w:val="3"/>
              <w:spacing w:after="0" w:line="240" w:lineRule="auto"/>
              <w:rPr>
                <w:sz w:val="28"/>
                <w:szCs w:val="28"/>
              </w:rPr>
            </w:pPr>
            <w:r>
              <w:rPr>
                <w:rtl w:val="0"/>
              </w:rPr>
              <w:t>11.8</w:t>
            </w:r>
          </w:p>
        </w:tc>
        <w:tc>
          <w:p w14:paraId="0000039B">
            <w:pPr>
              <w:pStyle w:val="3"/>
              <w:spacing w:after="0" w:line="240" w:lineRule="auto"/>
            </w:pPr>
            <w:r>
              <w:rPr>
                <w:rtl w:val="0"/>
              </w:rPr>
              <w:t>Toxicité spécifique pour certains organes cibles (exposition ponctuelle)</w:t>
            </w:r>
          </w:p>
        </w:tc>
      </w:tr>
      <w:tr w14:paraId="420142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9C"/>
        </w:tc>
        <w:tc>
          <w:p w14:paraId="0000039D"/>
        </w:tc>
        <w:tc>
          <w:p w14:paraId="0000039E">
            <w:r>
              <w:rPr>
                <w:sz w:val="12"/>
                <w:szCs w:val="12"/>
              </w:rPr>
              <w:drawing>
                <wp:inline distT="0" distB="0" distL="0" distR="0">
                  <wp:extent cx="405765" cy="37465"/>
                  <wp:effectExtent l="0" t="0" r="0" b="0"/>
                  <wp:docPr id="54" name="image1.jpg"/>
                  <wp:cNvGraphicFramePr/>
                  <a:graphic xmlns:a="http://schemas.openxmlformats.org/drawingml/2006/main">
                    <a:graphicData uri="http://schemas.openxmlformats.org/drawingml/2006/picture">
                      <pic:pic xmlns:pic="http://schemas.openxmlformats.org/drawingml/2006/picture">
                        <pic:nvPicPr>
                          <pic:cNvPr id="5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9F">
      <w:r>
        <w:rPr>
          <w:rtl w:val="0"/>
        </w:rPr>
        <w:t>Le produit n'est pas classé.</w:t>
      </w:r>
    </w:p>
    <w:p w14:paraId="000003A0">
      <w:pPr>
        <w:pStyle w:val="4"/>
      </w:pPr>
      <w:r>
        <w:rPr>
          <w:b/>
          <w:color w:val="000000"/>
          <w:rtl w:val="0"/>
        </w:rPr>
        <w:t>Données sur le mélange</w:t>
      </w:r>
      <w:r>
        <w:rPr>
          <w:rtl w:val="0"/>
        </w:rPr>
        <w:t xml:space="preserve"> : </w:t>
      </w:r>
    </w:p>
    <w:p w14:paraId="000003A1">
      <w:r>
        <w:rPr>
          <w:rtl w:val="0"/>
        </w:rPr>
        <w:t>Pas de données disponibles</w:t>
      </w:r>
    </w:p>
    <w:p w14:paraId="000003A2">
      <w:pPr>
        <w:pStyle w:val="4"/>
      </w:pPr>
      <w:r>
        <w:rPr>
          <w:b/>
          <w:color w:val="000000"/>
          <w:rtl w:val="0"/>
        </w:rPr>
        <w:t>Substances</w:t>
      </w:r>
      <w:r>
        <w:rPr>
          <w:rtl w:val="0"/>
        </w:rPr>
        <w:t xml:space="preserve"> : </w:t>
      </w:r>
    </w:p>
    <w:p w14:paraId="000003A3">
      <w:r>
        <w:rPr>
          <w:rtl w:val="0"/>
        </w:rPr>
        <w:t>Pas de données disponibles</w:t>
      </w:r>
    </w:p>
    <w:tbl>
      <w:tblPr>
        <w:tblStyle w:val="15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2242A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A4"/>
        </w:tc>
        <w:tc>
          <w:p w14:paraId="000003A5">
            <w:pPr>
              <w:pStyle w:val="3"/>
              <w:spacing w:after="0" w:line="240" w:lineRule="auto"/>
              <w:rPr>
                <w:sz w:val="28"/>
                <w:szCs w:val="28"/>
              </w:rPr>
            </w:pPr>
            <w:r>
              <w:rPr>
                <w:rtl w:val="0"/>
              </w:rPr>
              <w:t>11.9</w:t>
            </w:r>
          </w:p>
        </w:tc>
        <w:tc>
          <w:p w14:paraId="000003A6">
            <w:pPr>
              <w:pStyle w:val="3"/>
              <w:spacing w:after="0" w:line="240" w:lineRule="auto"/>
            </w:pPr>
            <w:r>
              <w:rPr>
                <w:rtl w:val="0"/>
              </w:rPr>
              <w:t>Cancérogenicité</w:t>
            </w:r>
          </w:p>
        </w:tc>
      </w:tr>
      <w:tr w14:paraId="7BF365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A7"/>
        </w:tc>
        <w:tc>
          <w:p w14:paraId="000003A8"/>
        </w:tc>
        <w:tc>
          <w:p w14:paraId="000003A9">
            <w:r>
              <w:rPr>
                <w:sz w:val="12"/>
                <w:szCs w:val="12"/>
              </w:rPr>
              <w:drawing>
                <wp:inline distT="0" distB="0" distL="0" distR="0">
                  <wp:extent cx="405765" cy="37465"/>
                  <wp:effectExtent l="0" t="0" r="0" b="0"/>
                  <wp:docPr id="55" name="image1.jpg"/>
                  <wp:cNvGraphicFramePr/>
                  <a:graphic xmlns:a="http://schemas.openxmlformats.org/drawingml/2006/main">
                    <a:graphicData uri="http://schemas.openxmlformats.org/drawingml/2006/picture">
                      <pic:pic xmlns:pic="http://schemas.openxmlformats.org/drawingml/2006/picture">
                        <pic:nvPicPr>
                          <pic:cNvPr id="5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AA">
      <w:r>
        <w:rPr>
          <w:rtl w:val="0"/>
        </w:rPr>
        <w:t>Le produit n'est pas classé.</w:t>
      </w:r>
    </w:p>
    <w:p w14:paraId="000003AB">
      <w:pPr>
        <w:pStyle w:val="4"/>
      </w:pPr>
      <w:r>
        <w:rPr>
          <w:b/>
          <w:color w:val="000000"/>
          <w:rtl w:val="0"/>
        </w:rPr>
        <w:t>Données sur le mélange</w:t>
      </w:r>
      <w:r>
        <w:rPr>
          <w:rtl w:val="0"/>
        </w:rPr>
        <w:t xml:space="preserve"> : </w:t>
      </w:r>
    </w:p>
    <w:p w14:paraId="000003AC">
      <w:r>
        <w:rPr>
          <w:rtl w:val="0"/>
        </w:rPr>
        <w:t>Pas de données disponibles</w:t>
      </w:r>
    </w:p>
    <w:p w14:paraId="000003AD">
      <w:pPr>
        <w:pStyle w:val="4"/>
      </w:pPr>
      <w:r>
        <w:rPr>
          <w:b/>
          <w:color w:val="000000"/>
          <w:rtl w:val="0"/>
        </w:rPr>
        <w:t>Substances</w:t>
      </w:r>
      <w:r>
        <w:rPr>
          <w:rtl w:val="0"/>
        </w:rPr>
        <w:t xml:space="preserve"> : </w:t>
      </w:r>
    </w:p>
    <w:p w14:paraId="000003AE">
      <w:r>
        <w:rPr>
          <w:rtl w:val="0"/>
        </w:rPr>
        <w:t>Pas de données disponibles</w:t>
      </w:r>
    </w:p>
    <w:tbl>
      <w:tblPr>
        <w:tblStyle w:val="15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C52B9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AF"/>
        </w:tc>
        <w:tc>
          <w:p w14:paraId="000003B0">
            <w:pPr>
              <w:pStyle w:val="3"/>
              <w:spacing w:after="0" w:line="240" w:lineRule="auto"/>
              <w:rPr>
                <w:sz w:val="28"/>
                <w:szCs w:val="28"/>
              </w:rPr>
            </w:pPr>
            <w:r>
              <w:rPr>
                <w:rtl w:val="0"/>
              </w:rPr>
              <w:t>11.10</w:t>
            </w:r>
          </w:p>
        </w:tc>
        <w:tc>
          <w:p w14:paraId="000003B1">
            <w:pPr>
              <w:pStyle w:val="3"/>
              <w:spacing w:after="0" w:line="240" w:lineRule="auto"/>
            </w:pPr>
            <w:r>
              <w:rPr>
                <w:rtl w:val="0"/>
              </w:rPr>
              <w:t>Toxicité pour la reproduction</w:t>
            </w:r>
          </w:p>
        </w:tc>
      </w:tr>
      <w:tr w14:paraId="1BBB18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B2"/>
        </w:tc>
        <w:tc>
          <w:p w14:paraId="000003B3"/>
        </w:tc>
        <w:tc>
          <w:p w14:paraId="000003B4">
            <w:r>
              <w:rPr>
                <w:sz w:val="12"/>
                <w:szCs w:val="12"/>
              </w:rPr>
              <w:drawing>
                <wp:inline distT="0" distB="0" distL="0" distR="0">
                  <wp:extent cx="405765" cy="37465"/>
                  <wp:effectExtent l="0" t="0" r="0" b="0"/>
                  <wp:docPr id="56" name="image1.jpg"/>
                  <wp:cNvGraphicFramePr/>
                  <a:graphic xmlns:a="http://schemas.openxmlformats.org/drawingml/2006/main">
                    <a:graphicData uri="http://schemas.openxmlformats.org/drawingml/2006/picture">
                      <pic:pic xmlns:pic="http://schemas.openxmlformats.org/drawingml/2006/picture">
                        <pic:nvPicPr>
                          <pic:cNvPr id="5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B5">
      <w:r>
        <w:rPr>
          <w:rtl w:val="0"/>
        </w:rPr>
        <w:t>Le produit n'est pas classé.</w:t>
      </w:r>
    </w:p>
    <w:p w14:paraId="000003B6">
      <w:pPr>
        <w:pStyle w:val="4"/>
      </w:pPr>
      <w:r>
        <w:rPr>
          <w:b/>
          <w:color w:val="000000"/>
          <w:rtl w:val="0"/>
        </w:rPr>
        <w:t>Données sur le mélange</w:t>
      </w:r>
      <w:r>
        <w:rPr>
          <w:rtl w:val="0"/>
        </w:rPr>
        <w:t xml:space="preserve"> : </w:t>
      </w:r>
    </w:p>
    <w:p w14:paraId="000003B7">
      <w:r>
        <w:rPr>
          <w:rtl w:val="0"/>
        </w:rPr>
        <w:t>Pas de données disponibles</w:t>
      </w:r>
    </w:p>
    <w:p w14:paraId="000003B8">
      <w:pPr>
        <w:pStyle w:val="4"/>
      </w:pPr>
      <w:r>
        <w:rPr>
          <w:b/>
          <w:color w:val="000000"/>
          <w:rtl w:val="0"/>
        </w:rPr>
        <w:t>Substances</w:t>
      </w:r>
      <w:r>
        <w:rPr>
          <w:rtl w:val="0"/>
        </w:rPr>
        <w:t xml:space="preserve"> : </w:t>
      </w:r>
    </w:p>
    <w:p w14:paraId="000003B9">
      <w:r>
        <w:rPr>
          <w:rtl w:val="0"/>
        </w:rPr>
        <w:t>Pas de données disponibles</w:t>
      </w:r>
    </w:p>
    <w:tbl>
      <w:tblPr>
        <w:tblStyle w:val="15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81948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BA"/>
        </w:tc>
        <w:tc>
          <w:p w14:paraId="000003BB">
            <w:pPr>
              <w:pStyle w:val="3"/>
              <w:spacing w:after="0" w:line="240" w:lineRule="auto"/>
              <w:rPr>
                <w:sz w:val="28"/>
                <w:szCs w:val="28"/>
              </w:rPr>
            </w:pPr>
            <w:r>
              <w:rPr>
                <w:rtl w:val="0"/>
              </w:rPr>
              <w:t>11.11</w:t>
            </w:r>
          </w:p>
        </w:tc>
        <w:tc>
          <w:p w14:paraId="000003BC">
            <w:pPr>
              <w:pStyle w:val="3"/>
              <w:spacing w:after="0" w:line="240" w:lineRule="auto"/>
            </w:pPr>
            <w:r>
              <w:rPr>
                <w:rtl w:val="0"/>
              </w:rPr>
              <w:t>Mutagénicité des cellules germinales</w:t>
            </w:r>
          </w:p>
        </w:tc>
      </w:tr>
      <w:tr w14:paraId="6B29BC5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BD"/>
        </w:tc>
        <w:tc>
          <w:p w14:paraId="000003BE"/>
        </w:tc>
        <w:tc>
          <w:p w14:paraId="000003BF">
            <w:r>
              <w:rPr>
                <w:sz w:val="12"/>
                <w:szCs w:val="12"/>
              </w:rPr>
              <w:drawing>
                <wp:inline distT="0" distB="0" distL="0" distR="0">
                  <wp:extent cx="405765" cy="37465"/>
                  <wp:effectExtent l="0" t="0" r="0" b="0"/>
                  <wp:docPr id="57" name="image1.jpg"/>
                  <wp:cNvGraphicFramePr/>
                  <a:graphic xmlns:a="http://schemas.openxmlformats.org/drawingml/2006/main">
                    <a:graphicData uri="http://schemas.openxmlformats.org/drawingml/2006/picture">
                      <pic:pic xmlns:pic="http://schemas.openxmlformats.org/drawingml/2006/picture">
                        <pic:nvPicPr>
                          <pic:cNvPr id="5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C0">
      <w:r>
        <w:rPr>
          <w:rtl w:val="0"/>
        </w:rPr>
        <w:t>Le produit n'est pas classé.</w:t>
      </w:r>
    </w:p>
    <w:p w14:paraId="000003C1">
      <w:pPr>
        <w:pStyle w:val="4"/>
      </w:pPr>
      <w:r>
        <w:rPr>
          <w:b/>
          <w:color w:val="000000"/>
          <w:rtl w:val="0"/>
        </w:rPr>
        <w:t>Données sur le mélange</w:t>
      </w:r>
      <w:r>
        <w:rPr>
          <w:rtl w:val="0"/>
        </w:rPr>
        <w:t xml:space="preserve"> : </w:t>
      </w:r>
    </w:p>
    <w:p w14:paraId="000003C2">
      <w:r>
        <w:rPr>
          <w:rtl w:val="0"/>
        </w:rPr>
        <w:t>Pas de données disponibles</w:t>
      </w:r>
    </w:p>
    <w:p w14:paraId="000003C3">
      <w:pPr>
        <w:pStyle w:val="4"/>
      </w:pPr>
      <w:r>
        <w:rPr>
          <w:b/>
          <w:color w:val="000000"/>
          <w:rtl w:val="0"/>
        </w:rPr>
        <w:t>Substances</w:t>
      </w:r>
      <w:r>
        <w:rPr>
          <w:rtl w:val="0"/>
        </w:rPr>
        <w:t xml:space="preserve"> : </w:t>
      </w:r>
    </w:p>
    <w:p w14:paraId="000003C4">
      <w:r>
        <w:rPr>
          <w:rtl w:val="0"/>
        </w:rPr>
        <w:t>Pas de données disponibles</w:t>
      </w:r>
    </w:p>
    <w:tbl>
      <w:tblPr>
        <w:tblStyle w:val="15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F93B4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C5"/>
        </w:tc>
        <w:tc>
          <w:p w14:paraId="000003C6">
            <w:pPr>
              <w:pStyle w:val="3"/>
              <w:spacing w:after="0" w:line="240" w:lineRule="auto"/>
              <w:rPr>
                <w:sz w:val="28"/>
                <w:szCs w:val="28"/>
              </w:rPr>
            </w:pPr>
            <w:r>
              <w:rPr>
                <w:rtl w:val="0"/>
              </w:rPr>
              <w:t>11.12</w:t>
            </w:r>
          </w:p>
        </w:tc>
        <w:tc>
          <w:p w14:paraId="000003C7">
            <w:pPr>
              <w:pStyle w:val="3"/>
              <w:spacing w:after="0" w:line="240" w:lineRule="auto"/>
            </w:pPr>
            <w:r>
              <w:rPr>
                <w:rtl w:val="0"/>
              </w:rPr>
              <w:t>Sensibilisation des voies respiratoires</w:t>
            </w:r>
          </w:p>
        </w:tc>
      </w:tr>
      <w:tr w14:paraId="633EA1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C8"/>
        </w:tc>
        <w:tc>
          <w:p w14:paraId="000003C9"/>
        </w:tc>
        <w:tc>
          <w:p w14:paraId="000003CA">
            <w:r>
              <w:rPr>
                <w:sz w:val="12"/>
                <w:szCs w:val="12"/>
              </w:rPr>
              <w:drawing>
                <wp:inline distT="0" distB="0" distL="0" distR="0">
                  <wp:extent cx="405765" cy="37465"/>
                  <wp:effectExtent l="0" t="0" r="0" b="0"/>
                  <wp:docPr id="80" name="image1.jpg"/>
                  <wp:cNvGraphicFramePr/>
                  <a:graphic xmlns:a="http://schemas.openxmlformats.org/drawingml/2006/main">
                    <a:graphicData uri="http://schemas.openxmlformats.org/drawingml/2006/picture">
                      <pic:pic xmlns:pic="http://schemas.openxmlformats.org/drawingml/2006/picture">
                        <pic:nvPicPr>
                          <pic:cNvPr id="8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CB">
      <w:r>
        <w:rPr>
          <w:rtl w:val="0"/>
        </w:rPr>
        <w:t>Le produit n'est pas classé.</w:t>
      </w:r>
    </w:p>
    <w:p w14:paraId="000003CC">
      <w:pPr>
        <w:pStyle w:val="4"/>
      </w:pPr>
      <w:r>
        <w:rPr>
          <w:b/>
          <w:color w:val="000000"/>
          <w:rtl w:val="0"/>
        </w:rPr>
        <w:t>Données sur le mélange</w:t>
      </w:r>
      <w:r>
        <w:rPr>
          <w:rtl w:val="0"/>
        </w:rPr>
        <w:t xml:space="preserve"> : </w:t>
      </w:r>
    </w:p>
    <w:p w14:paraId="000003CD">
      <w:r>
        <w:rPr>
          <w:rtl w:val="0"/>
        </w:rPr>
        <w:t>Pas de données disponibles</w:t>
      </w:r>
    </w:p>
    <w:p w14:paraId="000003CE">
      <w:pPr>
        <w:pStyle w:val="4"/>
      </w:pPr>
      <w:r>
        <w:rPr>
          <w:b/>
          <w:color w:val="000000"/>
          <w:rtl w:val="0"/>
        </w:rPr>
        <w:t>Substances</w:t>
      </w:r>
      <w:r>
        <w:rPr>
          <w:rtl w:val="0"/>
        </w:rPr>
        <w:t xml:space="preserve"> : </w:t>
      </w:r>
    </w:p>
    <w:p w14:paraId="000003CF">
      <w:r>
        <w:rPr>
          <w:rtl w:val="0"/>
        </w:rPr>
        <w:t>Pas de données disponibles</w:t>
      </w:r>
    </w:p>
    <w:tbl>
      <w:tblPr>
        <w:tblStyle w:val="15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2660B7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D0"/>
        </w:tc>
        <w:tc>
          <w:p w14:paraId="000003D1">
            <w:pPr>
              <w:pStyle w:val="3"/>
              <w:spacing w:after="0" w:line="240" w:lineRule="auto"/>
              <w:rPr>
                <w:sz w:val="28"/>
                <w:szCs w:val="28"/>
              </w:rPr>
            </w:pPr>
            <w:r>
              <w:rPr>
                <w:rtl w:val="0"/>
              </w:rPr>
              <w:t>11.13</w:t>
            </w:r>
          </w:p>
        </w:tc>
        <w:tc>
          <w:p w14:paraId="000003D2">
            <w:pPr>
              <w:pStyle w:val="3"/>
              <w:spacing w:after="0" w:line="240" w:lineRule="auto"/>
            </w:pPr>
            <w:r>
              <w:rPr>
                <w:rtl w:val="0"/>
              </w:rPr>
              <w:t>Informations complémentaires</w:t>
            </w:r>
          </w:p>
        </w:tc>
      </w:tr>
      <w:tr w14:paraId="2BC7E69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D3"/>
        </w:tc>
        <w:tc>
          <w:p w14:paraId="000003D4"/>
        </w:tc>
        <w:tc>
          <w:p w14:paraId="000003D5">
            <w:r>
              <w:rPr>
                <w:sz w:val="12"/>
                <w:szCs w:val="12"/>
              </w:rPr>
              <w:drawing>
                <wp:inline distT="0" distB="0" distL="0" distR="0">
                  <wp:extent cx="405765" cy="37465"/>
                  <wp:effectExtent l="0" t="0" r="0" b="0"/>
                  <wp:docPr id="81" name="image1.jpg"/>
                  <wp:cNvGraphicFramePr/>
                  <a:graphic xmlns:a="http://schemas.openxmlformats.org/drawingml/2006/main">
                    <a:graphicData uri="http://schemas.openxmlformats.org/drawingml/2006/picture">
                      <pic:pic xmlns:pic="http://schemas.openxmlformats.org/drawingml/2006/picture">
                        <pic:nvPicPr>
                          <pic:cNvPr id="8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D6">
      <w:r>
        <w:rPr>
          <w:rtl w:val="0"/>
        </w:rPr>
        <w:t>Pas de données disponibles</w:t>
      </w:r>
    </w:p>
    <w:tbl>
      <w:tblPr>
        <w:tblStyle w:val="15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5788231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3D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3D8">
            <w:pPr>
              <w:jc w:val="center"/>
              <w:rPr>
                <w:b/>
                <w:sz w:val="16"/>
                <w:szCs w:val="16"/>
              </w:rPr>
            </w:pPr>
            <w:r>
              <w:rPr>
                <w:b/>
                <w:sz w:val="16"/>
                <w:szCs w:val="16"/>
                <w:rtl w:val="0"/>
              </w:rPr>
              <w:t>section</w:t>
            </w:r>
          </w:p>
        </w:tc>
        <w:tc>
          <w:tcPr>
            <w:shd w:val="clear" w:color="auto" w:fill="A8D8A7"/>
            <w:vAlign w:val="center"/>
          </w:tcPr>
          <w:p w14:paraId="000003D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12</w:t>
            </w:r>
          </w:p>
        </w:tc>
        <w:tc>
          <w:tcPr>
            <w:shd w:val="clear" w:color="auto" w:fill="A8D8A7"/>
            <w:vAlign w:val="center"/>
          </w:tcPr>
          <w:p w14:paraId="000003DA">
            <w:pPr>
              <w:pStyle w:val="2"/>
              <w:spacing w:line="240" w:lineRule="auto"/>
            </w:pPr>
            <w:r>
              <w:rPr>
                <w:rtl w:val="0"/>
              </w:rPr>
              <w:t>Informations écologiques</w:t>
            </w:r>
          </w:p>
        </w:tc>
        <w:tc>
          <w:tcPr>
            <w:shd w:val="clear" w:color="auto" w:fill="A8D8A7"/>
            <w:vAlign w:val="center"/>
          </w:tcPr>
          <w:p w14:paraId="000003D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3DC"/>
    <w:tbl>
      <w:tblPr>
        <w:tblStyle w:val="16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03D456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DD"/>
        </w:tc>
        <w:tc>
          <w:p w14:paraId="000003DE">
            <w:pPr>
              <w:pStyle w:val="3"/>
              <w:spacing w:after="0" w:line="240" w:lineRule="auto"/>
              <w:rPr>
                <w:sz w:val="28"/>
                <w:szCs w:val="28"/>
              </w:rPr>
            </w:pPr>
            <w:r>
              <w:rPr>
                <w:rtl w:val="0"/>
              </w:rPr>
              <w:t>12.1</w:t>
            </w:r>
          </w:p>
        </w:tc>
        <w:tc>
          <w:p w14:paraId="000003DF">
            <w:pPr>
              <w:pStyle w:val="3"/>
              <w:spacing w:after="0" w:line="240" w:lineRule="auto"/>
            </w:pPr>
            <w:r>
              <w:rPr>
                <w:rtl w:val="0"/>
              </w:rPr>
              <w:t>Toxicité</w:t>
            </w:r>
          </w:p>
        </w:tc>
      </w:tr>
      <w:tr w14:paraId="056B9B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E0"/>
        </w:tc>
        <w:tc>
          <w:p w14:paraId="000003E1"/>
        </w:tc>
        <w:tc>
          <w:p w14:paraId="000003E2">
            <w:r>
              <w:rPr>
                <w:sz w:val="12"/>
                <w:szCs w:val="12"/>
              </w:rPr>
              <w:drawing>
                <wp:inline distT="0" distB="0" distL="0" distR="0">
                  <wp:extent cx="405765" cy="37465"/>
                  <wp:effectExtent l="0" t="0" r="0" b="0"/>
                  <wp:docPr id="82" name="image1.jpg"/>
                  <wp:cNvGraphicFramePr/>
                  <a:graphic xmlns:a="http://schemas.openxmlformats.org/drawingml/2006/main">
                    <a:graphicData uri="http://schemas.openxmlformats.org/drawingml/2006/picture">
                      <pic:pic xmlns:pic="http://schemas.openxmlformats.org/drawingml/2006/picture">
                        <pic:nvPicPr>
                          <pic:cNvPr id="8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E3">
      <w:r>
        <w:rPr>
          <w:rtl w:val="0"/>
        </w:rPr>
        <w:t>Nocif pour les organismes aquatiques, entraîne des effets néfastes à long terme.</w:t>
      </w:r>
    </w:p>
    <w:p w14:paraId="000003E4">
      <w:pPr>
        <w:pStyle w:val="4"/>
      </w:pPr>
      <w:r>
        <w:rPr>
          <w:b/>
          <w:color w:val="000000"/>
          <w:rtl w:val="0"/>
        </w:rPr>
        <w:t>Données sur le mélange</w:t>
      </w:r>
      <w:r>
        <w:rPr>
          <w:rtl w:val="0"/>
        </w:rPr>
        <w:t xml:space="preserve"> : </w:t>
      </w:r>
    </w:p>
    <w:p w14:paraId="000003E5">
      <w:r>
        <w:rPr>
          <w:rtl w:val="0"/>
        </w:rPr>
        <w:t>Pas de données disponibles</w:t>
      </w:r>
    </w:p>
    <w:p w14:paraId="000003E6">
      <w:pPr>
        <w:pStyle w:val="4"/>
      </w:pPr>
      <w:r>
        <w:rPr>
          <w:b/>
          <w:color w:val="000000"/>
          <w:rtl w:val="0"/>
        </w:rPr>
        <w:t>Substances</w:t>
      </w:r>
      <w:r>
        <w:rPr>
          <w:rtl w:val="0"/>
        </w:rPr>
        <w:t xml:space="preserve"> : </w:t>
      </w:r>
    </w:p>
    <w:p w14:paraId="000003E7">
      <w:r>
        <w:rPr>
          <w:rtl w:val="0"/>
        </w:rPr>
        <w:t>Pas de données disponibles</w:t>
      </w:r>
    </w:p>
    <w:tbl>
      <w:tblPr>
        <w:tblStyle w:val="16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38C5C0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E8"/>
        </w:tc>
        <w:tc>
          <w:p w14:paraId="000003E9">
            <w:pPr>
              <w:pStyle w:val="3"/>
              <w:spacing w:after="0" w:line="240" w:lineRule="auto"/>
              <w:rPr>
                <w:sz w:val="28"/>
                <w:szCs w:val="28"/>
              </w:rPr>
            </w:pPr>
            <w:r>
              <w:rPr>
                <w:rtl w:val="0"/>
              </w:rPr>
              <w:t>12.2</w:t>
            </w:r>
          </w:p>
        </w:tc>
        <w:tc>
          <w:p w14:paraId="000003EA">
            <w:pPr>
              <w:pStyle w:val="3"/>
              <w:spacing w:after="0" w:line="240" w:lineRule="auto"/>
            </w:pPr>
            <w:r>
              <w:rPr>
                <w:rtl w:val="0"/>
              </w:rPr>
              <w:t>Persistance et dégradabilité</w:t>
            </w:r>
          </w:p>
        </w:tc>
      </w:tr>
      <w:tr w14:paraId="440175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EB"/>
        </w:tc>
        <w:tc>
          <w:p w14:paraId="000003EC"/>
        </w:tc>
        <w:tc>
          <w:p w14:paraId="000003ED">
            <w:r>
              <w:rPr>
                <w:sz w:val="12"/>
                <w:szCs w:val="12"/>
              </w:rPr>
              <w:drawing>
                <wp:inline distT="0" distB="0" distL="0" distR="0">
                  <wp:extent cx="405765" cy="37465"/>
                  <wp:effectExtent l="0" t="0" r="0" b="0"/>
                  <wp:docPr id="83" name="image1.jpg"/>
                  <wp:cNvGraphicFramePr/>
                  <a:graphic xmlns:a="http://schemas.openxmlformats.org/drawingml/2006/main">
                    <a:graphicData uri="http://schemas.openxmlformats.org/drawingml/2006/picture">
                      <pic:pic xmlns:pic="http://schemas.openxmlformats.org/drawingml/2006/picture">
                        <pic:nvPicPr>
                          <pic:cNvPr id="8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EE">
      <w:r>
        <w:rPr>
          <w:rtl w:val="0"/>
        </w:rPr>
        <w:t>Le produit n'a pas été testé.</w:t>
      </w:r>
    </w:p>
    <w:p w14:paraId="000003EF">
      <w:pPr>
        <w:pStyle w:val="4"/>
      </w:pPr>
      <w:r>
        <w:rPr>
          <w:b/>
          <w:color w:val="000000"/>
          <w:rtl w:val="0"/>
        </w:rPr>
        <w:t>Données sur le mélange</w:t>
      </w:r>
      <w:r>
        <w:rPr>
          <w:rtl w:val="0"/>
        </w:rPr>
        <w:t xml:space="preserve"> : </w:t>
      </w:r>
    </w:p>
    <w:p w14:paraId="000003F0">
      <w:r>
        <w:rPr>
          <w:rtl w:val="0"/>
        </w:rPr>
        <w:t>Pas de données disponibles</w:t>
      </w:r>
    </w:p>
    <w:p w14:paraId="000003F1">
      <w:pPr>
        <w:pStyle w:val="4"/>
      </w:pPr>
      <w:r>
        <w:rPr>
          <w:b/>
          <w:color w:val="000000"/>
          <w:rtl w:val="0"/>
        </w:rPr>
        <w:t>Substances</w:t>
      </w:r>
      <w:r>
        <w:rPr>
          <w:rtl w:val="0"/>
        </w:rPr>
        <w:t xml:space="preserve"> : </w:t>
      </w:r>
    </w:p>
    <w:p w14:paraId="000003F2">
      <w:r>
        <w:rPr>
          <w:rtl w:val="0"/>
        </w:rPr>
        <w:t>Pas de données disponibles</w:t>
      </w:r>
    </w:p>
    <w:tbl>
      <w:tblPr>
        <w:tblStyle w:val="16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AC395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F3"/>
        </w:tc>
        <w:tc>
          <w:p w14:paraId="000003F4">
            <w:pPr>
              <w:pStyle w:val="3"/>
              <w:spacing w:after="0" w:line="240" w:lineRule="auto"/>
              <w:rPr>
                <w:sz w:val="28"/>
                <w:szCs w:val="28"/>
              </w:rPr>
            </w:pPr>
            <w:r>
              <w:rPr>
                <w:rtl w:val="0"/>
              </w:rPr>
              <w:t>12.3</w:t>
            </w:r>
          </w:p>
        </w:tc>
        <w:tc>
          <w:p w14:paraId="000003F5">
            <w:pPr>
              <w:pStyle w:val="3"/>
              <w:spacing w:after="0" w:line="240" w:lineRule="auto"/>
            </w:pPr>
            <w:r>
              <w:rPr>
                <w:rtl w:val="0"/>
              </w:rPr>
              <w:t>Potentiel de bioaccumulation</w:t>
            </w:r>
          </w:p>
        </w:tc>
      </w:tr>
      <w:tr w14:paraId="01F7C1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3F6"/>
        </w:tc>
        <w:tc>
          <w:p w14:paraId="000003F7"/>
        </w:tc>
        <w:tc>
          <w:p w14:paraId="000003F8">
            <w:r>
              <w:rPr>
                <w:sz w:val="12"/>
                <w:szCs w:val="12"/>
              </w:rPr>
              <w:drawing>
                <wp:inline distT="0" distB="0" distL="0" distR="0">
                  <wp:extent cx="405765" cy="37465"/>
                  <wp:effectExtent l="0" t="0" r="0" b="0"/>
                  <wp:docPr id="84" name="image1.jpg"/>
                  <wp:cNvGraphicFramePr/>
                  <a:graphic xmlns:a="http://schemas.openxmlformats.org/drawingml/2006/main">
                    <a:graphicData uri="http://schemas.openxmlformats.org/drawingml/2006/picture">
                      <pic:pic xmlns:pic="http://schemas.openxmlformats.org/drawingml/2006/picture">
                        <pic:nvPicPr>
                          <pic:cNvPr id="8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3F9">
      <w:r>
        <w:rPr>
          <w:rtl w:val="0"/>
        </w:rPr>
        <w:t>Le produit n'a pas été testé.</w:t>
      </w:r>
    </w:p>
    <w:p w14:paraId="000003FA">
      <w:pPr>
        <w:pStyle w:val="4"/>
      </w:pPr>
      <w:r>
        <w:rPr>
          <w:b/>
          <w:color w:val="000000"/>
          <w:rtl w:val="0"/>
        </w:rPr>
        <w:t>Données sur le mélange</w:t>
      </w:r>
      <w:r>
        <w:rPr>
          <w:rtl w:val="0"/>
        </w:rPr>
        <w:t xml:space="preserve"> : </w:t>
      </w:r>
    </w:p>
    <w:p w14:paraId="000003FB">
      <w:r>
        <w:rPr>
          <w:rtl w:val="0"/>
        </w:rPr>
        <w:t>Pas de données disponibles</w:t>
      </w:r>
    </w:p>
    <w:p w14:paraId="000003FC">
      <w:pPr>
        <w:pStyle w:val="4"/>
      </w:pPr>
      <w:r>
        <w:rPr>
          <w:b/>
          <w:color w:val="000000"/>
          <w:rtl w:val="0"/>
        </w:rPr>
        <w:t>Substances</w:t>
      </w:r>
      <w:r>
        <w:rPr>
          <w:rtl w:val="0"/>
        </w:rPr>
        <w:t xml:space="preserve"> : </w:t>
      </w:r>
    </w:p>
    <w:p w14:paraId="000003FD">
      <w:r>
        <w:rPr>
          <w:rtl w:val="0"/>
        </w:rPr>
        <w:t>Pas de données disponibles</w:t>
      </w:r>
    </w:p>
    <w:tbl>
      <w:tblPr>
        <w:tblStyle w:val="16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6D92E11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3FE"/>
        </w:tc>
        <w:tc>
          <w:p w14:paraId="000003FF">
            <w:pPr>
              <w:pStyle w:val="3"/>
              <w:spacing w:after="0" w:line="240" w:lineRule="auto"/>
              <w:rPr>
                <w:sz w:val="28"/>
                <w:szCs w:val="28"/>
              </w:rPr>
            </w:pPr>
            <w:r>
              <w:rPr>
                <w:rtl w:val="0"/>
              </w:rPr>
              <w:t>12.4</w:t>
            </w:r>
          </w:p>
        </w:tc>
        <w:tc>
          <w:p w14:paraId="00000400">
            <w:pPr>
              <w:pStyle w:val="3"/>
              <w:spacing w:after="0" w:line="240" w:lineRule="auto"/>
            </w:pPr>
            <w:r>
              <w:rPr>
                <w:rtl w:val="0"/>
              </w:rPr>
              <w:t>Mobilité dans le sol</w:t>
            </w:r>
          </w:p>
        </w:tc>
      </w:tr>
      <w:tr w14:paraId="64E1FC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01"/>
        </w:tc>
        <w:tc>
          <w:p w14:paraId="00000402"/>
        </w:tc>
        <w:tc>
          <w:p w14:paraId="00000403">
            <w:r>
              <w:rPr>
                <w:sz w:val="12"/>
                <w:szCs w:val="12"/>
              </w:rPr>
              <w:drawing>
                <wp:inline distT="0" distB="0" distL="0" distR="0">
                  <wp:extent cx="405765" cy="37465"/>
                  <wp:effectExtent l="0" t="0" r="0" b="0"/>
                  <wp:docPr id="85" name="image1.jpg"/>
                  <wp:cNvGraphicFramePr/>
                  <a:graphic xmlns:a="http://schemas.openxmlformats.org/drawingml/2006/main">
                    <a:graphicData uri="http://schemas.openxmlformats.org/drawingml/2006/picture">
                      <pic:pic xmlns:pic="http://schemas.openxmlformats.org/drawingml/2006/picture">
                        <pic:nvPicPr>
                          <pic:cNvPr id="8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04">
      <w:r>
        <w:rPr>
          <w:rtl w:val="0"/>
        </w:rPr>
        <w:t>Le produit n'a pas été testé.</w:t>
      </w:r>
    </w:p>
    <w:p w14:paraId="00000405">
      <w:pPr>
        <w:pStyle w:val="4"/>
      </w:pPr>
      <w:r>
        <w:rPr>
          <w:b/>
          <w:color w:val="000000"/>
          <w:rtl w:val="0"/>
        </w:rPr>
        <w:t>Données sur le mélange</w:t>
      </w:r>
      <w:r>
        <w:rPr>
          <w:rtl w:val="0"/>
        </w:rPr>
        <w:t xml:space="preserve"> : </w:t>
      </w:r>
    </w:p>
    <w:p w14:paraId="00000406">
      <w:r>
        <w:rPr>
          <w:rtl w:val="0"/>
        </w:rPr>
        <w:t>Pas de données disponibles</w:t>
      </w:r>
    </w:p>
    <w:p w14:paraId="00000407">
      <w:pPr>
        <w:pStyle w:val="4"/>
      </w:pPr>
      <w:r>
        <w:rPr>
          <w:b/>
          <w:color w:val="000000"/>
          <w:rtl w:val="0"/>
        </w:rPr>
        <w:t>Substances</w:t>
      </w:r>
      <w:r>
        <w:rPr>
          <w:rtl w:val="0"/>
        </w:rPr>
        <w:t xml:space="preserve"> : </w:t>
      </w:r>
    </w:p>
    <w:p w14:paraId="00000408">
      <w:r>
        <w:rPr>
          <w:rtl w:val="0"/>
        </w:rPr>
        <w:t>Pas de données disponibles</w:t>
      </w:r>
    </w:p>
    <w:tbl>
      <w:tblPr>
        <w:tblStyle w:val="16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98AD5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09"/>
        </w:tc>
        <w:tc>
          <w:p w14:paraId="0000040A">
            <w:pPr>
              <w:pStyle w:val="3"/>
              <w:spacing w:after="0" w:line="240" w:lineRule="auto"/>
              <w:rPr>
                <w:sz w:val="28"/>
                <w:szCs w:val="28"/>
              </w:rPr>
            </w:pPr>
            <w:r>
              <w:rPr>
                <w:rtl w:val="0"/>
              </w:rPr>
              <w:t>12.5</w:t>
            </w:r>
          </w:p>
        </w:tc>
        <w:tc>
          <w:p w14:paraId="0000040B">
            <w:pPr>
              <w:pStyle w:val="3"/>
              <w:spacing w:after="0" w:line="240" w:lineRule="auto"/>
            </w:pPr>
            <w:r>
              <w:rPr>
                <w:rtl w:val="0"/>
              </w:rPr>
              <w:t>Résultats des évaluations PBT et vPvB</w:t>
            </w:r>
          </w:p>
        </w:tc>
      </w:tr>
      <w:tr w14:paraId="64E5C9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0C"/>
        </w:tc>
        <w:tc>
          <w:p w14:paraId="0000040D"/>
        </w:tc>
        <w:tc>
          <w:p w14:paraId="0000040E">
            <w:r>
              <w:rPr>
                <w:sz w:val="12"/>
                <w:szCs w:val="12"/>
              </w:rPr>
              <w:drawing>
                <wp:inline distT="0" distB="0" distL="0" distR="0">
                  <wp:extent cx="405765" cy="37465"/>
                  <wp:effectExtent l="0" t="0" r="0" b="0"/>
                  <wp:docPr id="86" name="image1.jpg"/>
                  <wp:cNvGraphicFramePr/>
                  <a:graphic xmlns:a="http://schemas.openxmlformats.org/drawingml/2006/main">
                    <a:graphicData uri="http://schemas.openxmlformats.org/drawingml/2006/picture">
                      <pic:pic xmlns:pic="http://schemas.openxmlformats.org/drawingml/2006/picture">
                        <pic:nvPicPr>
                          <pic:cNvPr id="8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0F">
      <w:r>
        <w:rPr>
          <w:rtl w:val="0"/>
        </w:rPr>
        <w:t>Conformément au règlement (UE) 1907/2006, aucune substance n'est évaluée comme PBT ou vPvB.</w:t>
      </w:r>
    </w:p>
    <w:tbl>
      <w:tblPr>
        <w:tblStyle w:val="16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A6587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10"/>
        </w:tc>
        <w:tc>
          <w:p w14:paraId="00000411">
            <w:pPr>
              <w:pStyle w:val="3"/>
              <w:spacing w:after="0" w:line="240" w:lineRule="auto"/>
              <w:rPr>
                <w:sz w:val="28"/>
                <w:szCs w:val="28"/>
              </w:rPr>
            </w:pPr>
            <w:r>
              <w:rPr>
                <w:rtl w:val="0"/>
              </w:rPr>
              <w:t>12.6</w:t>
            </w:r>
          </w:p>
        </w:tc>
        <w:tc>
          <w:p w14:paraId="00000412">
            <w:pPr>
              <w:pStyle w:val="3"/>
              <w:spacing w:after="0" w:line="240" w:lineRule="auto"/>
            </w:pPr>
            <w:r>
              <w:rPr>
                <w:rtl w:val="0"/>
              </w:rPr>
              <w:t>Propriétés perturbant le système endocrinien</w:t>
            </w:r>
          </w:p>
        </w:tc>
      </w:tr>
      <w:tr w14:paraId="2E7135B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13"/>
        </w:tc>
        <w:tc>
          <w:p w14:paraId="00000414"/>
        </w:tc>
        <w:tc>
          <w:p w14:paraId="00000415">
            <w:r>
              <w:rPr>
                <w:sz w:val="12"/>
                <w:szCs w:val="12"/>
              </w:rPr>
              <w:drawing>
                <wp:inline distT="0" distB="0" distL="0" distR="0">
                  <wp:extent cx="405765" cy="37465"/>
                  <wp:effectExtent l="0" t="0" r="0" b="0"/>
                  <wp:docPr id="87" name="image1.jpg"/>
                  <wp:cNvGraphicFramePr/>
                  <a:graphic xmlns:a="http://schemas.openxmlformats.org/drawingml/2006/main">
                    <a:graphicData uri="http://schemas.openxmlformats.org/drawingml/2006/picture">
                      <pic:pic xmlns:pic="http://schemas.openxmlformats.org/drawingml/2006/picture">
                        <pic:nvPicPr>
                          <pic:cNvPr id="8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16">
      <w:r>
        <w:rPr>
          <w:rtl w:val="0"/>
        </w:rPr>
        <w:t>Selon le règlement (UE) 2017/2100 ou le règlement (UE) 2018/605, aucune substance n'est connue pour avoir des propriétés de perturbation endocrinienne.</w:t>
      </w:r>
    </w:p>
    <w:tbl>
      <w:tblPr>
        <w:tblStyle w:val="16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3D408B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17"/>
        </w:tc>
        <w:tc>
          <w:p w14:paraId="00000418">
            <w:pPr>
              <w:pStyle w:val="3"/>
              <w:spacing w:after="0" w:line="240" w:lineRule="auto"/>
              <w:rPr>
                <w:sz w:val="28"/>
                <w:szCs w:val="28"/>
              </w:rPr>
            </w:pPr>
            <w:r>
              <w:rPr>
                <w:rtl w:val="0"/>
              </w:rPr>
              <w:t>12.7</w:t>
            </w:r>
          </w:p>
        </w:tc>
        <w:tc>
          <w:p w14:paraId="00000419">
            <w:pPr>
              <w:pStyle w:val="3"/>
              <w:spacing w:after="0" w:line="240" w:lineRule="auto"/>
            </w:pPr>
            <w:r>
              <w:rPr>
                <w:rtl w:val="0"/>
              </w:rPr>
              <w:t>Autres effets néfastes</w:t>
            </w:r>
          </w:p>
        </w:tc>
      </w:tr>
      <w:tr w14:paraId="688AFA1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1A"/>
        </w:tc>
        <w:tc>
          <w:p w14:paraId="0000041B"/>
        </w:tc>
        <w:tc>
          <w:p w14:paraId="0000041C">
            <w:r>
              <w:rPr>
                <w:sz w:val="12"/>
                <w:szCs w:val="12"/>
              </w:rPr>
              <w:drawing>
                <wp:inline distT="0" distB="0" distL="0" distR="0">
                  <wp:extent cx="405765" cy="37465"/>
                  <wp:effectExtent l="0" t="0" r="0" b="0"/>
                  <wp:docPr id="88" name="image1.jpg"/>
                  <wp:cNvGraphicFramePr/>
                  <a:graphic xmlns:a="http://schemas.openxmlformats.org/drawingml/2006/main">
                    <a:graphicData uri="http://schemas.openxmlformats.org/drawingml/2006/picture">
                      <pic:pic xmlns:pic="http://schemas.openxmlformats.org/drawingml/2006/picture">
                        <pic:nvPicPr>
                          <pic:cNvPr id="8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1D">
      <w:r>
        <w:rPr>
          <w:rtl w:val="0"/>
        </w:rPr>
        <w:t>Pas de données disponibles</w:t>
      </w:r>
    </w:p>
    <w:tbl>
      <w:tblPr>
        <w:tblStyle w:val="16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34B3A2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41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41F">
            <w:pPr>
              <w:jc w:val="center"/>
              <w:rPr>
                <w:b/>
                <w:sz w:val="16"/>
                <w:szCs w:val="16"/>
              </w:rPr>
            </w:pPr>
            <w:r>
              <w:rPr>
                <w:b/>
                <w:sz w:val="16"/>
                <w:szCs w:val="16"/>
                <w:rtl w:val="0"/>
              </w:rPr>
              <w:t>section</w:t>
            </w:r>
          </w:p>
        </w:tc>
        <w:tc>
          <w:tcPr>
            <w:shd w:val="clear" w:color="auto" w:fill="A8D8A7"/>
            <w:vAlign w:val="center"/>
          </w:tcPr>
          <w:p w14:paraId="0000042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13</w:t>
            </w:r>
          </w:p>
        </w:tc>
        <w:tc>
          <w:tcPr>
            <w:shd w:val="clear" w:color="auto" w:fill="A8D8A7"/>
            <w:vAlign w:val="center"/>
          </w:tcPr>
          <w:p w14:paraId="00000421">
            <w:pPr>
              <w:pStyle w:val="2"/>
              <w:spacing w:line="240" w:lineRule="auto"/>
            </w:pPr>
            <w:r>
              <w:rPr>
                <w:rtl w:val="0"/>
              </w:rPr>
              <w:t>Considérations relatives à l’élimination</w:t>
            </w:r>
          </w:p>
        </w:tc>
        <w:tc>
          <w:tcPr>
            <w:shd w:val="clear" w:color="auto" w:fill="A8D8A7"/>
            <w:vAlign w:val="center"/>
          </w:tcPr>
          <w:p w14:paraId="0000042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423"/>
    <w:tbl>
      <w:tblPr>
        <w:tblStyle w:val="16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E344D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24"/>
        </w:tc>
        <w:tc>
          <w:p w14:paraId="00000425">
            <w:pPr>
              <w:pStyle w:val="3"/>
              <w:spacing w:after="0" w:line="240" w:lineRule="auto"/>
              <w:rPr>
                <w:sz w:val="28"/>
                <w:szCs w:val="28"/>
              </w:rPr>
            </w:pPr>
            <w:r>
              <w:rPr>
                <w:rtl w:val="0"/>
              </w:rPr>
              <w:t>13.1</w:t>
            </w:r>
          </w:p>
        </w:tc>
        <w:tc>
          <w:p w14:paraId="00000426">
            <w:pPr>
              <w:pStyle w:val="3"/>
              <w:spacing w:after="0" w:line="240" w:lineRule="auto"/>
            </w:pPr>
            <w:r>
              <w:rPr>
                <w:rtl w:val="0"/>
              </w:rPr>
              <w:t>Méthodes de traitement des déchets</w:t>
            </w:r>
          </w:p>
        </w:tc>
      </w:tr>
      <w:tr w14:paraId="1CE98D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27"/>
        </w:tc>
        <w:tc>
          <w:p w14:paraId="00000428"/>
        </w:tc>
        <w:tc>
          <w:p w14:paraId="00000429">
            <w:r>
              <w:rPr>
                <w:sz w:val="12"/>
                <w:szCs w:val="12"/>
              </w:rPr>
              <w:drawing>
                <wp:inline distT="0" distB="0" distL="0" distR="0">
                  <wp:extent cx="405765" cy="37465"/>
                  <wp:effectExtent l="0" t="0" r="0" b="0"/>
                  <wp:docPr id="89" name="image1.jpg"/>
                  <wp:cNvGraphicFramePr/>
                  <a:graphic xmlns:a="http://schemas.openxmlformats.org/drawingml/2006/main">
                    <a:graphicData uri="http://schemas.openxmlformats.org/drawingml/2006/picture">
                      <pic:pic xmlns:pic="http://schemas.openxmlformats.org/drawingml/2006/picture">
                        <pic:nvPicPr>
                          <pic:cNvPr id="8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2A">
      <w:pPr>
        <w:pStyle w:val="4"/>
      </w:pPr>
      <w:r>
        <w:rPr>
          <w:b/>
          <w:color w:val="000000"/>
          <w:rtl w:val="0"/>
        </w:rPr>
        <w:t>Élimination des produits/emballages</w:t>
      </w:r>
      <w:r>
        <w:rPr>
          <w:rtl w:val="0"/>
        </w:rPr>
        <w:t xml:space="preserve"> : </w:t>
      </w:r>
    </w:p>
    <w:p w14:paraId="0000042B">
      <w:pPr>
        <w:pStyle w:val="5"/>
      </w:pPr>
      <w:r>
        <w:rPr>
          <w:rFonts w:ascii="Calibri" w:hAnsi="Calibri" w:eastAsia="Calibri" w:cs="Calibri"/>
          <w:b/>
          <w:color w:val="000000"/>
          <w:sz w:val="20"/>
          <w:szCs w:val="20"/>
          <w:rtl w:val="0"/>
        </w:rPr>
        <w:t>Codes déchet</w:t>
      </w:r>
      <w:r>
        <w:rPr>
          <w:rtl w:val="0"/>
        </w:rPr>
        <w:t xml:space="preserve"> : </w:t>
      </w:r>
    </w:p>
    <w:p w14:paraId="0000042C">
      <w:r>
        <w:rPr>
          <w:rtl w:val="0"/>
        </w:rPr>
        <w:t>La répartition des numéros d'identité des déchets/descriptions des déchets doit être effectuée conformément aux recommandations de la CEE, de manière spécifique à l'industrie et aux procédures en question.</w:t>
      </w:r>
    </w:p>
    <w:p w14:paraId="0000042D">
      <w:pPr>
        <w:pStyle w:val="5"/>
      </w:pPr>
      <w:r>
        <w:rPr>
          <w:rFonts w:ascii="Calibri" w:hAnsi="Calibri" w:eastAsia="Calibri" w:cs="Calibri"/>
          <w:b/>
          <w:color w:val="000000"/>
          <w:sz w:val="20"/>
          <w:szCs w:val="20"/>
          <w:rtl w:val="0"/>
        </w:rPr>
        <w:t>Options de traitement des déchets</w:t>
      </w:r>
      <w:r>
        <w:rPr>
          <w:rtl w:val="0"/>
        </w:rPr>
        <w:t xml:space="preserve"> : </w:t>
      </w:r>
    </w:p>
    <w:p w14:paraId="0000042E">
      <w:pPr>
        <w:pStyle w:val="5"/>
      </w:pPr>
      <w:r>
        <w:rPr>
          <w:rFonts w:ascii="Calibri" w:hAnsi="Calibri" w:eastAsia="Calibri" w:cs="Calibri"/>
          <w:b/>
          <w:color w:val="000000"/>
          <w:sz w:val="20"/>
          <w:szCs w:val="20"/>
          <w:rtl w:val="0"/>
        </w:rPr>
        <w:t>Élimination appropriée/Produit</w:t>
      </w:r>
      <w:r>
        <w:rPr>
          <w:rtl w:val="0"/>
        </w:rPr>
        <w:t xml:space="preserve"> : </w:t>
      </w:r>
    </w:p>
    <w:p w14:paraId="0000042F">
      <w:r>
        <w:rPr>
          <w:rtl w:val="0"/>
        </w:rPr>
        <w:t>Déchets exigeant une surveillance spéciale.</w:t>
      </w:r>
    </w:p>
    <w:p w14:paraId="00000430">
      <w:r>
        <w:rPr>
          <w:rtl w:val="0"/>
        </w:rPr>
        <w:t>Éliminer les déchets conformément à la législation applicable.</w:t>
      </w:r>
    </w:p>
    <w:p w14:paraId="00000431">
      <w:r>
        <w:rPr>
          <w:rtl w:val="0"/>
        </w:rPr>
        <w:t>Livraison à une société agréée en élimination des déchets.</w:t>
      </w:r>
    </w:p>
    <w:p w14:paraId="00000432">
      <w:pPr>
        <w:pStyle w:val="5"/>
      </w:pPr>
      <w:r>
        <w:rPr>
          <w:rFonts w:ascii="Calibri" w:hAnsi="Calibri" w:eastAsia="Calibri" w:cs="Calibri"/>
          <w:b/>
          <w:color w:val="000000"/>
          <w:sz w:val="20"/>
          <w:szCs w:val="20"/>
          <w:rtl w:val="0"/>
        </w:rPr>
        <w:t>Élimination appropriée/Emballage</w:t>
      </w:r>
      <w:r>
        <w:rPr>
          <w:rtl w:val="0"/>
        </w:rPr>
        <w:t xml:space="preserve"> : </w:t>
      </w:r>
    </w:p>
    <w:p w14:paraId="00000433">
      <w:r>
        <w:rPr>
          <w:rtl w:val="0"/>
        </w:rPr>
        <w:t>Les emballages non-contaminés doivent être recyclés ou éliminés.</w:t>
      </w:r>
    </w:p>
    <w:p w14:paraId="00000434">
      <w:r>
        <w:rPr>
          <w:rtl w:val="0"/>
        </w:rPr>
        <w:t>Les emballages contaminés doivent être entièrement vidés et peuvent être réutilisés après un nettoyage adéquat.</w:t>
      </w:r>
    </w:p>
    <w:p w14:paraId="00000435">
      <w:r>
        <w:rPr>
          <w:rtl w:val="0"/>
        </w:rPr>
        <w:t>Les emballages ne pouvant pas être nettoyés doivent être éliminés.</w:t>
      </w:r>
    </w:p>
    <w:p w14:paraId="00000436">
      <w:r>
        <w:rPr>
          <w:rtl w:val="0"/>
        </w:rPr>
        <w:t>Manipuler les emballages contaminés de la même façon que la substance elle-même.</w:t>
      </w:r>
    </w:p>
    <w:p w14:paraId="00000437">
      <w:r>
        <w:rPr>
          <w:rtl w:val="0"/>
        </w:rPr>
        <w:t>Éliminer les déchets conformément à la législation applicable.</w:t>
      </w:r>
    </w:p>
    <w:p w14:paraId="00000438">
      <w:pPr>
        <w:pStyle w:val="5"/>
      </w:pPr>
      <w:r>
        <w:rPr>
          <w:rFonts w:ascii="Calibri" w:hAnsi="Calibri" w:eastAsia="Calibri" w:cs="Calibri"/>
          <w:b/>
          <w:color w:val="000000"/>
          <w:sz w:val="20"/>
          <w:szCs w:val="20"/>
          <w:rtl w:val="0"/>
        </w:rPr>
        <w:t>Remarque</w:t>
      </w:r>
      <w:r>
        <w:rPr>
          <w:rtl w:val="0"/>
        </w:rPr>
        <w:t xml:space="preserve"> : </w:t>
      </w:r>
    </w:p>
    <w:p w14:paraId="00000439">
      <w:r>
        <w:rPr>
          <w:rtl w:val="0"/>
        </w:rPr>
        <w:t>Pour le recyclage, contacter le fabricant.</w:t>
      </w:r>
    </w:p>
    <w:p w14:paraId="0000043A">
      <w:r>
        <w:rPr>
          <w:rtl w:val="0"/>
        </w:rPr>
        <w:t>Collecter les déchets séparément.</w:t>
      </w:r>
    </w:p>
    <w:p w14:paraId="0000043B">
      <w:r>
        <w:rPr>
          <w:rtl w:val="0"/>
        </w:rPr>
        <w:t>Consulter les autorités compétentes en matière d'élimination des déchets.</w:t>
      </w:r>
    </w:p>
    <w:p w14:paraId="0000043C">
      <w:r>
        <w:rPr>
          <w:rtl w:val="0"/>
        </w:rPr>
        <w:t>Ne pas mélanger avec d'autres déchets.</w:t>
      </w:r>
    </w:p>
    <w:p w14:paraId="0000043D">
      <w:r>
        <w:rPr>
          <w:rtl w:val="0"/>
        </w:rPr>
        <w:t>Les déchets doivent être séparés des autres types de déchets jusqu'à leur élimination.</w:t>
      </w:r>
    </w:p>
    <w:p w14:paraId="0000043E">
      <w:r>
        <w:rPr>
          <w:rtl w:val="0"/>
        </w:rPr>
        <w:t>En ce qui concerne les déchets, ils doivent être vérifiés, si une autorisation de transport est nécessaire.</w:t>
      </w:r>
    </w:p>
    <w:tbl>
      <w:tblPr>
        <w:tblStyle w:val="16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C58C69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3F"/>
        </w:tc>
        <w:tc>
          <w:p w14:paraId="00000440">
            <w:pPr>
              <w:pStyle w:val="3"/>
              <w:spacing w:after="0" w:line="240" w:lineRule="auto"/>
              <w:rPr>
                <w:sz w:val="28"/>
                <w:szCs w:val="28"/>
              </w:rPr>
            </w:pPr>
            <w:r>
              <w:rPr>
                <w:rtl w:val="0"/>
              </w:rPr>
              <w:t>13.2</w:t>
            </w:r>
          </w:p>
        </w:tc>
        <w:tc>
          <w:p w14:paraId="00000441">
            <w:pPr>
              <w:pStyle w:val="3"/>
              <w:spacing w:after="0" w:line="240" w:lineRule="auto"/>
            </w:pPr>
            <w:r>
              <w:rPr>
                <w:rtl w:val="0"/>
              </w:rPr>
              <w:t>Informations complémentaires</w:t>
            </w:r>
          </w:p>
        </w:tc>
      </w:tr>
      <w:tr w14:paraId="20519F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42"/>
        </w:tc>
        <w:tc>
          <w:p w14:paraId="00000443"/>
        </w:tc>
        <w:tc>
          <w:p w14:paraId="00000444">
            <w:r>
              <w:rPr>
                <w:sz w:val="12"/>
                <w:szCs w:val="12"/>
              </w:rPr>
              <w:drawing>
                <wp:inline distT="0" distB="0" distL="0" distR="0">
                  <wp:extent cx="405765" cy="37465"/>
                  <wp:effectExtent l="0" t="0" r="0" b="0"/>
                  <wp:docPr id="79" name="image1.jpg"/>
                  <wp:cNvGraphicFramePr/>
                  <a:graphic xmlns:a="http://schemas.openxmlformats.org/drawingml/2006/main">
                    <a:graphicData uri="http://schemas.openxmlformats.org/drawingml/2006/picture">
                      <pic:pic xmlns:pic="http://schemas.openxmlformats.org/drawingml/2006/picture">
                        <pic:nvPicPr>
                          <pic:cNvPr id="7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45">
      <w:r>
        <w:rPr>
          <w:rtl w:val="0"/>
        </w:rPr>
        <w:t>Pas de données disponibles</w:t>
      </w:r>
    </w:p>
    <w:tbl>
      <w:tblPr>
        <w:tblStyle w:val="17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35C910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4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447">
            <w:pPr>
              <w:jc w:val="center"/>
              <w:rPr>
                <w:b/>
                <w:sz w:val="16"/>
                <w:szCs w:val="16"/>
              </w:rPr>
            </w:pPr>
            <w:r>
              <w:rPr>
                <w:b/>
                <w:sz w:val="16"/>
                <w:szCs w:val="16"/>
                <w:rtl w:val="0"/>
              </w:rPr>
              <w:t>section</w:t>
            </w:r>
          </w:p>
        </w:tc>
        <w:tc>
          <w:tcPr>
            <w:shd w:val="clear" w:color="auto" w:fill="A8D8A7"/>
            <w:vAlign w:val="center"/>
          </w:tcPr>
          <w:p w14:paraId="000004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14</w:t>
            </w:r>
          </w:p>
        </w:tc>
        <w:tc>
          <w:tcPr>
            <w:shd w:val="clear" w:color="auto" w:fill="A8D8A7"/>
            <w:vAlign w:val="center"/>
          </w:tcPr>
          <w:p w14:paraId="00000449">
            <w:pPr>
              <w:pStyle w:val="2"/>
              <w:spacing w:line="240" w:lineRule="auto"/>
            </w:pPr>
            <w:r>
              <w:rPr>
                <w:rtl w:val="0"/>
              </w:rPr>
              <w:t>Informations relatives au transport</w:t>
            </w:r>
          </w:p>
        </w:tc>
        <w:tc>
          <w:tcPr>
            <w:shd w:val="clear" w:color="auto" w:fill="A8D8A7"/>
            <w:vAlign w:val="center"/>
          </w:tcPr>
          <w:p w14:paraId="000004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44B"/>
    <w:tbl>
      <w:tblPr>
        <w:tblStyle w:val="17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6002D0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4C"/>
        </w:tc>
        <w:tc>
          <w:p w14:paraId="0000044D">
            <w:pPr>
              <w:pStyle w:val="3"/>
              <w:spacing w:after="0" w:line="240" w:lineRule="auto"/>
              <w:rPr>
                <w:sz w:val="28"/>
                <w:szCs w:val="28"/>
              </w:rPr>
            </w:pPr>
            <w:r>
              <w:rPr>
                <w:rtl w:val="0"/>
              </w:rPr>
              <w:t>14.1</w:t>
            </w:r>
          </w:p>
        </w:tc>
        <w:tc>
          <w:p w14:paraId="0000044E">
            <w:pPr>
              <w:pStyle w:val="3"/>
              <w:spacing w:after="0" w:line="240" w:lineRule="auto"/>
            </w:pPr>
            <w:r>
              <w:rPr>
                <w:rtl w:val="0"/>
              </w:rPr>
              <w:t>Numéro ONU</w:t>
            </w:r>
          </w:p>
        </w:tc>
      </w:tr>
      <w:tr w14:paraId="3284701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4F"/>
        </w:tc>
        <w:tc>
          <w:p w14:paraId="00000450"/>
        </w:tc>
        <w:tc>
          <w:p w14:paraId="00000451">
            <w:r>
              <w:rPr>
                <w:sz w:val="12"/>
                <w:szCs w:val="12"/>
              </w:rPr>
              <w:drawing>
                <wp:inline distT="0" distB="0" distL="0" distR="0">
                  <wp:extent cx="405765" cy="37465"/>
                  <wp:effectExtent l="0" t="0" r="0" b="0"/>
                  <wp:docPr id="70" name="image1.jpg"/>
                  <wp:cNvGraphicFramePr/>
                  <a:graphic xmlns:a="http://schemas.openxmlformats.org/drawingml/2006/main">
                    <a:graphicData uri="http://schemas.openxmlformats.org/drawingml/2006/picture">
                      <pic:pic xmlns:pic="http://schemas.openxmlformats.org/drawingml/2006/picture">
                        <pic:nvPicPr>
                          <pic:cNvPr id="70"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52">
      <w:r>
        <w:rPr>
          <w:rtl w:val="0"/>
        </w:rPr>
        <w:t>Pas de données disponibles</w:t>
      </w:r>
    </w:p>
    <w:tbl>
      <w:tblPr>
        <w:tblStyle w:val="17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20ACFA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53"/>
        </w:tc>
        <w:tc>
          <w:p w14:paraId="00000454">
            <w:pPr>
              <w:pStyle w:val="3"/>
              <w:spacing w:after="0" w:line="240" w:lineRule="auto"/>
              <w:rPr>
                <w:sz w:val="28"/>
                <w:szCs w:val="28"/>
              </w:rPr>
            </w:pPr>
            <w:r>
              <w:rPr>
                <w:rtl w:val="0"/>
              </w:rPr>
              <w:t>14.2</w:t>
            </w:r>
          </w:p>
        </w:tc>
        <w:tc>
          <w:p w14:paraId="00000455">
            <w:pPr>
              <w:pStyle w:val="3"/>
              <w:spacing w:after="0" w:line="240" w:lineRule="auto"/>
            </w:pPr>
            <w:r>
              <w:rPr>
                <w:rtl w:val="0"/>
              </w:rPr>
              <w:t>Désignation officielle de transport de l’ONU</w:t>
            </w:r>
          </w:p>
        </w:tc>
      </w:tr>
      <w:tr w14:paraId="5F94572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56"/>
        </w:tc>
        <w:tc>
          <w:p w14:paraId="00000457"/>
        </w:tc>
        <w:tc>
          <w:p w14:paraId="00000458">
            <w:r>
              <w:rPr>
                <w:sz w:val="12"/>
                <w:szCs w:val="12"/>
              </w:rPr>
              <w:drawing>
                <wp:inline distT="0" distB="0" distL="0" distR="0">
                  <wp:extent cx="405765" cy="37465"/>
                  <wp:effectExtent l="0" t="0" r="0" b="0"/>
                  <wp:docPr id="71" name="image1.jpg"/>
                  <wp:cNvGraphicFramePr/>
                  <a:graphic xmlns:a="http://schemas.openxmlformats.org/drawingml/2006/main">
                    <a:graphicData uri="http://schemas.openxmlformats.org/drawingml/2006/picture">
                      <pic:pic xmlns:pic="http://schemas.openxmlformats.org/drawingml/2006/picture">
                        <pic:nvPicPr>
                          <pic:cNvPr id="71"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59">
      <w:r>
        <w:rPr>
          <w:rtl w:val="0"/>
        </w:rPr>
        <w:t>Pas de données disponibles</w:t>
      </w:r>
    </w:p>
    <w:tbl>
      <w:tblPr>
        <w:tblStyle w:val="17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595BB0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5A"/>
        </w:tc>
        <w:tc>
          <w:p w14:paraId="0000045B">
            <w:pPr>
              <w:pStyle w:val="3"/>
              <w:spacing w:after="0" w:line="240" w:lineRule="auto"/>
              <w:rPr>
                <w:sz w:val="28"/>
                <w:szCs w:val="28"/>
              </w:rPr>
            </w:pPr>
            <w:r>
              <w:rPr>
                <w:rtl w:val="0"/>
              </w:rPr>
              <w:t>14.3</w:t>
            </w:r>
          </w:p>
        </w:tc>
        <w:tc>
          <w:p w14:paraId="0000045C">
            <w:pPr>
              <w:pStyle w:val="3"/>
              <w:spacing w:after="0" w:line="240" w:lineRule="auto"/>
            </w:pPr>
            <w:r>
              <w:rPr>
                <w:rtl w:val="0"/>
              </w:rPr>
              <w:t>Classe(s) de danger pour le transport</w:t>
            </w:r>
          </w:p>
        </w:tc>
      </w:tr>
      <w:tr w14:paraId="3B13AA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5D"/>
        </w:tc>
        <w:tc>
          <w:p w14:paraId="0000045E"/>
        </w:tc>
        <w:tc>
          <w:p w14:paraId="0000045F">
            <w:r>
              <w:rPr>
                <w:sz w:val="12"/>
                <w:szCs w:val="12"/>
              </w:rPr>
              <w:drawing>
                <wp:inline distT="0" distB="0" distL="0" distR="0">
                  <wp:extent cx="405765" cy="37465"/>
                  <wp:effectExtent l="0" t="0" r="0" b="0"/>
                  <wp:docPr id="72" name="image1.jpg"/>
                  <wp:cNvGraphicFramePr/>
                  <a:graphic xmlns:a="http://schemas.openxmlformats.org/drawingml/2006/main">
                    <a:graphicData uri="http://schemas.openxmlformats.org/drawingml/2006/picture">
                      <pic:pic xmlns:pic="http://schemas.openxmlformats.org/drawingml/2006/picture">
                        <pic:nvPicPr>
                          <pic:cNvPr id="7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60">
      <w:r>
        <w:rPr>
          <w:rtl w:val="0"/>
        </w:rPr>
        <w:t>Pas de données disponibles</w:t>
      </w:r>
    </w:p>
    <w:tbl>
      <w:tblPr>
        <w:tblStyle w:val="17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B4DB3D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61"/>
        </w:tc>
        <w:tc>
          <w:p w14:paraId="00000462">
            <w:pPr>
              <w:pStyle w:val="3"/>
              <w:spacing w:after="0" w:line="240" w:lineRule="auto"/>
              <w:rPr>
                <w:sz w:val="28"/>
                <w:szCs w:val="28"/>
              </w:rPr>
            </w:pPr>
            <w:r>
              <w:rPr>
                <w:rtl w:val="0"/>
              </w:rPr>
              <w:t>14.4</w:t>
            </w:r>
          </w:p>
        </w:tc>
        <w:tc>
          <w:p w14:paraId="00000463">
            <w:pPr>
              <w:pStyle w:val="3"/>
              <w:spacing w:after="0" w:line="240" w:lineRule="auto"/>
            </w:pPr>
            <w:r>
              <w:rPr>
                <w:rtl w:val="0"/>
              </w:rPr>
              <w:t>Groupe d’emballage</w:t>
            </w:r>
          </w:p>
        </w:tc>
      </w:tr>
      <w:tr w14:paraId="7AEB2E4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64"/>
        </w:tc>
        <w:tc>
          <w:p w14:paraId="00000465"/>
        </w:tc>
        <w:tc>
          <w:p w14:paraId="00000466">
            <w:r>
              <w:rPr>
                <w:sz w:val="12"/>
                <w:szCs w:val="12"/>
              </w:rPr>
              <w:drawing>
                <wp:inline distT="0" distB="0" distL="0" distR="0">
                  <wp:extent cx="405765" cy="37465"/>
                  <wp:effectExtent l="0" t="0" r="0" b="0"/>
                  <wp:docPr id="73" name="image1.jpg"/>
                  <wp:cNvGraphicFramePr/>
                  <a:graphic xmlns:a="http://schemas.openxmlformats.org/drawingml/2006/main">
                    <a:graphicData uri="http://schemas.openxmlformats.org/drawingml/2006/picture">
                      <pic:pic xmlns:pic="http://schemas.openxmlformats.org/drawingml/2006/picture">
                        <pic:nvPicPr>
                          <pic:cNvPr id="7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67">
      <w:r>
        <w:rPr>
          <w:rtl w:val="0"/>
        </w:rPr>
        <w:t>Pas de données disponibles</w:t>
      </w:r>
    </w:p>
    <w:tbl>
      <w:tblPr>
        <w:tblStyle w:val="175"/>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F53A60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68"/>
        </w:tc>
        <w:tc>
          <w:p w14:paraId="00000469">
            <w:pPr>
              <w:pStyle w:val="3"/>
              <w:spacing w:after="0" w:line="240" w:lineRule="auto"/>
              <w:rPr>
                <w:sz w:val="28"/>
                <w:szCs w:val="28"/>
              </w:rPr>
            </w:pPr>
            <w:r>
              <w:rPr>
                <w:rtl w:val="0"/>
              </w:rPr>
              <w:t>14.5</w:t>
            </w:r>
          </w:p>
        </w:tc>
        <w:tc>
          <w:p w14:paraId="0000046A">
            <w:pPr>
              <w:pStyle w:val="3"/>
              <w:spacing w:after="0" w:line="240" w:lineRule="auto"/>
            </w:pPr>
            <w:r>
              <w:rPr>
                <w:rtl w:val="0"/>
              </w:rPr>
              <w:t>Dangers pour l’environnement</w:t>
            </w:r>
          </w:p>
        </w:tc>
      </w:tr>
      <w:tr w14:paraId="15BE71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6B"/>
        </w:tc>
        <w:tc>
          <w:p w14:paraId="0000046C"/>
        </w:tc>
        <w:tc>
          <w:p w14:paraId="0000046D">
            <w:r>
              <w:rPr>
                <w:sz w:val="12"/>
                <w:szCs w:val="12"/>
              </w:rPr>
              <w:drawing>
                <wp:inline distT="0" distB="0" distL="0" distR="0">
                  <wp:extent cx="405765" cy="37465"/>
                  <wp:effectExtent l="0" t="0" r="0" b="0"/>
                  <wp:docPr id="74" name="image1.jpg"/>
                  <wp:cNvGraphicFramePr/>
                  <a:graphic xmlns:a="http://schemas.openxmlformats.org/drawingml/2006/main">
                    <a:graphicData uri="http://schemas.openxmlformats.org/drawingml/2006/picture">
                      <pic:pic xmlns:pic="http://schemas.openxmlformats.org/drawingml/2006/picture">
                        <pic:nvPicPr>
                          <pic:cNvPr id="7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6E">
      <w:r>
        <w:rPr>
          <w:rtl w:val="0"/>
        </w:rPr>
        <w:t>Pas de données disponibles</w:t>
      </w:r>
    </w:p>
    <w:tbl>
      <w:tblPr>
        <w:tblStyle w:val="17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2A6A4F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6F"/>
        </w:tc>
        <w:tc>
          <w:p w14:paraId="00000470">
            <w:pPr>
              <w:pStyle w:val="3"/>
              <w:spacing w:after="0" w:line="240" w:lineRule="auto"/>
              <w:rPr>
                <w:sz w:val="28"/>
                <w:szCs w:val="28"/>
              </w:rPr>
            </w:pPr>
            <w:r>
              <w:rPr>
                <w:rtl w:val="0"/>
              </w:rPr>
              <w:t>14.6</w:t>
            </w:r>
          </w:p>
        </w:tc>
        <w:tc>
          <w:p w14:paraId="00000471">
            <w:pPr>
              <w:pStyle w:val="3"/>
              <w:spacing w:after="0" w:line="240" w:lineRule="auto"/>
            </w:pPr>
            <w:r>
              <w:rPr>
                <w:rtl w:val="0"/>
              </w:rPr>
              <w:t>Précautions particulières à prendre par l’utilisateur</w:t>
            </w:r>
          </w:p>
        </w:tc>
      </w:tr>
      <w:tr w14:paraId="4F3F83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72"/>
        </w:tc>
        <w:tc>
          <w:p w14:paraId="00000473"/>
        </w:tc>
        <w:tc>
          <w:p w14:paraId="00000474">
            <w:r>
              <w:rPr>
                <w:sz w:val="12"/>
                <w:szCs w:val="12"/>
              </w:rPr>
              <w:drawing>
                <wp:inline distT="0" distB="0" distL="0" distR="0">
                  <wp:extent cx="405765" cy="37465"/>
                  <wp:effectExtent l="0" t="0" r="0" b="0"/>
                  <wp:docPr id="75" name="image1.jpg"/>
                  <wp:cNvGraphicFramePr/>
                  <a:graphic xmlns:a="http://schemas.openxmlformats.org/drawingml/2006/main">
                    <a:graphicData uri="http://schemas.openxmlformats.org/drawingml/2006/picture">
                      <pic:pic xmlns:pic="http://schemas.openxmlformats.org/drawingml/2006/picture">
                        <pic:nvPicPr>
                          <pic:cNvPr id="7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75">
      <w:r>
        <w:rPr>
          <w:rtl w:val="0"/>
        </w:rPr>
        <w:t>Pas de données disponibles</w:t>
      </w:r>
    </w:p>
    <w:tbl>
      <w:tblPr>
        <w:tblStyle w:val="17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8003BB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76"/>
        </w:tc>
        <w:tc>
          <w:p w14:paraId="00000477">
            <w:pPr>
              <w:pStyle w:val="3"/>
              <w:spacing w:after="0" w:line="240" w:lineRule="auto"/>
              <w:rPr>
                <w:sz w:val="28"/>
                <w:szCs w:val="28"/>
              </w:rPr>
            </w:pPr>
            <w:r>
              <w:rPr>
                <w:rtl w:val="0"/>
              </w:rPr>
              <w:t>14.7</w:t>
            </w:r>
          </w:p>
        </w:tc>
        <w:tc>
          <w:p w14:paraId="00000478">
            <w:pPr>
              <w:pStyle w:val="3"/>
              <w:spacing w:after="0" w:line="240" w:lineRule="auto"/>
            </w:pPr>
            <w:r>
              <w:rPr>
                <w:rtl w:val="0"/>
              </w:rPr>
              <w:t>Transport maritime en vrac conformément aux instruments de l'OMI</w:t>
            </w:r>
          </w:p>
        </w:tc>
      </w:tr>
      <w:tr w14:paraId="144EA5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79"/>
        </w:tc>
        <w:tc>
          <w:p w14:paraId="0000047A"/>
        </w:tc>
        <w:tc>
          <w:p w14:paraId="0000047B">
            <w:r>
              <w:rPr>
                <w:sz w:val="12"/>
                <w:szCs w:val="12"/>
              </w:rPr>
              <w:drawing>
                <wp:inline distT="0" distB="0" distL="0" distR="0">
                  <wp:extent cx="405765" cy="37465"/>
                  <wp:effectExtent l="0" t="0" r="0" b="0"/>
                  <wp:docPr id="76" name="image1.jpg"/>
                  <wp:cNvGraphicFramePr/>
                  <a:graphic xmlns:a="http://schemas.openxmlformats.org/drawingml/2006/main">
                    <a:graphicData uri="http://schemas.openxmlformats.org/drawingml/2006/picture">
                      <pic:pic xmlns:pic="http://schemas.openxmlformats.org/drawingml/2006/picture">
                        <pic:nvPicPr>
                          <pic:cNvPr id="7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7C">
      <w:r>
        <w:rPr>
          <w:rtl w:val="0"/>
        </w:rPr>
        <w:t>Pas de données disponibles</w:t>
      </w:r>
    </w:p>
    <w:tbl>
      <w:tblPr>
        <w:tblStyle w:val="17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76255A6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7D"/>
        </w:tc>
        <w:tc>
          <w:p w14:paraId="0000047E">
            <w:pPr>
              <w:pStyle w:val="3"/>
              <w:spacing w:after="0" w:line="240" w:lineRule="auto"/>
              <w:rPr>
                <w:sz w:val="28"/>
                <w:szCs w:val="28"/>
              </w:rPr>
            </w:pPr>
            <w:r>
              <w:rPr>
                <w:rtl w:val="0"/>
              </w:rPr>
              <w:t>14.8</w:t>
            </w:r>
          </w:p>
        </w:tc>
        <w:tc>
          <w:p w14:paraId="0000047F">
            <w:pPr>
              <w:pStyle w:val="3"/>
              <w:spacing w:after="0" w:line="240" w:lineRule="auto"/>
            </w:pPr>
            <w:r>
              <w:rPr>
                <w:rtl w:val="0"/>
              </w:rPr>
              <w:t>Informations complémentaires</w:t>
            </w:r>
          </w:p>
        </w:tc>
      </w:tr>
      <w:tr w14:paraId="528C30F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80"/>
        </w:tc>
        <w:tc>
          <w:p w14:paraId="00000481"/>
        </w:tc>
        <w:tc>
          <w:p w14:paraId="00000482">
            <w:r>
              <w:rPr>
                <w:sz w:val="12"/>
                <w:szCs w:val="12"/>
              </w:rPr>
              <w:drawing>
                <wp:inline distT="0" distB="0" distL="0" distR="0">
                  <wp:extent cx="405765" cy="37465"/>
                  <wp:effectExtent l="0" t="0" r="0" b="0"/>
                  <wp:docPr id="77" name="image1.jpg"/>
                  <wp:cNvGraphicFramePr/>
                  <a:graphic xmlns:a="http://schemas.openxmlformats.org/drawingml/2006/main">
                    <a:graphicData uri="http://schemas.openxmlformats.org/drawingml/2006/picture">
                      <pic:pic xmlns:pic="http://schemas.openxmlformats.org/drawingml/2006/picture">
                        <pic:nvPicPr>
                          <pic:cNvPr id="7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83">
      <w:r>
        <w:rPr>
          <w:rtl w:val="0"/>
        </w:rPr>
        <w:t>Pas de données disponibles</w:t>
      </w:r>
    </w:p>
    <w:tbl>
      <w:tblPr>
        <w:tblStyle w:val="17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4654F1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48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485">
            <w:pPr>
              <w:jc w:val="center"/>
              <w:rPr>
                <w:b/>
                <w:sz w:val="16"/>
                <w:szCs w:val="16"/>
              </w:rPr>
            </w:pPr>
            <w:r>
              <w:rPr>
                <w:b/>
                <w:sz w:val="16"/>
                <w:szCs w:val="16"/>
                <w:rtl w:val="0"/>
              </w:rPr>
              <w:t>section</w:t>
            </w:r>
          </w:p>
        </w:tc>
        <w:tc>
          <w:tcPr>
            <w:shd w:val="clear" w:color="auto" w:fill="A8D8A7"/>
            <w:vAlign w:val="center"/>
          </w:tcPr>
          <w:p w14:paraId="000004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15</w:t>
            </w:r>
          </w:p>
        </w:tc>
        <w:tc>
          <w:tcPr>
            <w:shd w:val="clear" w:color="auto" w:fill="A8D8A7"/>
            <w:vAlign w:val="center"/>
          </w:tcPr>
          <w:p w14:paraId="00000487">
            <w:pPr>
              <w:pStyle w:val="2"/>
              <w:spacing w:line="240" w:lineRule="auto"/>
            </w:pPr>
            <w:r>
              <w:rPr>
                <w:rtl w:val="0"/>
              </w:rPr>
              <w:t>Informations réglementaires</w:t>
            </w:r>
          </w:p>
        </w:tc>
        <w:tc>
          <w:tcPr>
            <w:shd w:val="clear" w:color="auto" w:fill="A8D8A7"/>
            <w:vAlign w:val="center"/>
          </w:tcPr>
          <w:p w14:paraId="000004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489"/>
    <w:tbl>
      <w:tblPr>
        <w:tblStyle w:val="18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7BB143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8A"/>
        </w:tc>
        <w:tc>
          <w:p w14:paraId="0000048B">
            <w:pPr>
              <w:pStyle w:val="3"/>
              <w:spacing w:after="0" w:line="240" w:lineRule="auto"/>
              <w:rPr>
                <w:sz w:val="28"/>
                <w:szCs w:val="28"/>
              </w:rPr>
            </w:pPr>
            <w:r>
              <w:rPr>
                <w:rtl w:val="0"/>
              </w:rPr>
              <w:t>15.1</w:t>
            </w:r>
          </w:p>
        </w:tc>
        <w:tc>
          <w:p w14:paraId="0000048C">
            <w:pPr>
              <w:pStyle w:val="3"/>
              <w:spacing w:after="0" w:line="240" w:lineRule="auto"/>
            </w:pPr>
            <w:r>
              <w:rPr>
                <w:rtl w:val="0"/>
              </w:rPr>
              <w:t>Réglementations/Législation particulières à la substance ou au mélange en matière de sécurité, de santé et d’environnement</w:t>
            </w:r>
          </w:p>
        </w:tc>
      </w:tr>
      <w:tr w14:paraId="4BF9B8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8D"/>
        </w:tc>
        <w:tc>
          <w:p w14:paraId="0000048E"/>
        </w:tc>
        <w:tc>
          <w:p w14:paraId="0000048F">
            <w:r>
              <w:rPr>
                <w:sz w:val="12"/>
                <w:szCs w:val="12"/>
              </w:rPr>
              <w:drawing>
                <wp:inline distT="0" distB="0" distL="0" distR="0">
                  <wp:extent cx="405765" cy="37465"/>
                  <wp:effectExtent l="0" t="0" r="0" b="0"/>
                  <wp:docPr id="78" name="image1.jpg"/>
                  <wp:cNvGraphicFramePr/>
                  <a:graphic xmlns:a="http://schemas.openxmlformats.org/drawingml/2006/main">
                    <a:graphicData uri="http://schemas.openxmlformats.org/drawingml/2006/picture">
                      <pic:pic xmlns:pic="http://schemas.openxmlformats.org/drawingml/2006/picture">
                        <pic:nvPicPr>
                          <pic:cNvPr id="7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90">
      <w:r>
        <w:rPr>
          <w:rtl w:val="0"/>
        </w:rPr>
        <w:t>Cette FDS a été établie conformément au règlement REACH, y compris ses modifications: règlement REACH (CE) n ° 1907/2006.</w:t>
      </w:r>
    </w:p>
    <w:p w14:paraId="00000491">
      <w:r>
        <w:rPr>
          <w:rtl w:val="0"/>
        </w:rPr>
        <w:t>Cette SDS a été établie conformément à la réglementation CLP, y compris ses modifications: règlement CLP n ° 1272/2008.</w:t>
      </w:r>
    </w:p>
    <w:p w14:paraId="00000492">
      <w:pPr>
        <w:pStyle w:val="4"/>
      </w:pPr>
      <w:r>
        <w:rPr>
          <w:b/>
          <w:color w:val="000000"/>
          <w:rtl w:val="0"/>
        </w:rPr>
        <w:t>Législation européenne</w:t>
      </w:r>
      <w:r>
        <w:rPr>
          <w:rtl w:val="0"/>
        </w:rPr>
        <w:t xml:space="preserve"> : </w:t>
      </w:r>
    </w:p>
    <w:p w14:paraId="00000493">
      <w:r>
        <w:rPr>
          <w:rFonts w:ascii="Calibri" w:hAnsi="Calibri" w:eastAsia="Calibri" w:cs="Calibri"/>
          <w:b/>
          <w:color w:val="000000"/>
          <w:sz w:val="20"/>
          <w:szCs w:val="20"/>
          <w:rtl w:val="0"/>
        </w:rPr>
        <w:t xml:space="preserve"> COMMISSION REGULATION (EU) 2023/1545 (Allergen List)</w:t>
      </w:r>
      <w:r>
        <w:rPr>
          <w:rtl w:val="0"/>
        </w:rPr>
        <w:t xml:space="preserve"> : </w:t>
      </w:r>
    </w:p>
    <w:tbl>
      <w:tblPr>
        <w:tblStyle w:val="181"/>
        <w:tblW w:w="1003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108" w:type="dxa"/>
          <w:bottom w:w="0" w:type="dxa"/>
          <w:right w:w="108" w:type="dxa"/>
        </w:tblCellMar>
      </w:tblPr>
      <w:tblGrid>
        <w:gridCol w:w="5499"/>
        <w:gridCol w:w="2268"/>
        <w:gridCol w:w="2268"/>
      </w:tblGrid>
      <w:tr w14:paraId="52B5F591">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tcPr>
            <w:tcBorders>
              <w:left w:val="single" w:color="A8D8A7" w:sz="24" w:space="0"/>
              <w:right w:val="single" w:color="A8D8A7" w:sz="24" w:space="0"/>
            </w:tcBorders>
            <w:shd w:val="clear" w:color="auto" w:fill="F2F2F2"/>
          </w:tcPr>
          <w:p w14:paraId="00000494">
            <w:pPr>
              <w:spacing w:before="120" w:after="120"/>
              <w:rPr>
                <w:b/>
              </w:rPr>
            </w:pPr>
            <w:r>
              <w:rPr>
                <w:b/>
                <w:rtl w:val="0"/>
              </w:rPr>
              <w:t>Substance</w:t>
            </w:r>
          </w:p>
        </w:tc>
        <w:tc>
          <w:tcPr>
            <w:tcBorders>
              <w:left w:val="single" w:color="A8D8A7" w:sz="24" w:space="0"/>
              <w:right w:val="single" w:color="A8D8A7" w:sz="24" w:space="0"/>
            </w:tcBorders>
            <w:shd w:val="clear" w:color="auto" w:fill="F2F2F2"/>
          </w:tcPr>
          <w:p w14:paraId="00000495">
            <w:pPr>
              <w:spacing w:before="120" w:after="120"/>
              <w:rPr>
                <w:b/>
              </w:rPr>
            </w:pPr>
            <w:r>
              <w:rPr>
                <w:b/>
                <w:rtl w:val="0"/>
              </w:rPr>
              <w:t>CAS</w:t>
            </w:r>
          </w:p>
        </w:tc>
        <w:tc>
          <w:tcPr>
            <w:tcBorders>
              <w:left w:val="single" w:color="A8D8A7" w:sz="24" w:space="0"/>
              <w:right w:val="single" w:color="A8D8A7" w:sz="24" w:space="0"/>
            </w:tcBorders>
            <w:shd w:val="clear" w:color="auto" w:fill="F2F2F2"/>
          </w:tcPr>
          <w:p w14:paraId="00000496">
            <w:pPr>
              <w:spacing w:before="120" w:after="120"/>
              <w:rPr>
                <w:b/>
              </w:rPr>
            </w:pPr>
            <w:r>
              <w:rPr>
                <w:b/>
                <w:rtl w:val="0"/>
              </w:rPr>
              <w:t>EC</w:t>
            </w:r>
          </w:p>
        </w:tc>
      </w:tr>
      <w:tr w14:paraId="3E869441">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p w14:paraId="00000497">
            <w:r>
              <w:rPr>
                <w:rtl w:val="0"/>
              </w:rPr>
              <w:t>α-hexylcinnamaldehyde</w:t>
            </w:r>
          </w:p>
        </w:tc>
        <w:tc>
          <w:p w14:paraId="00000498">
            <w:r>
              <w:rPr>
                <w:rtl w:val="0"/>
              </w:rPr>
              <w:t>101-86-0</w:t>
            </w:r>
          </w:p>
        </w:tc>
        <w:tc>
          <w:p w14:paraId="00000499">
            <w:r>
              <w:rPr>
                <w:rtl w:val="0"/>
              </w:rPr>
              <w:t>202-983-3</w:t>
            </w:r>
          </w:p>
        </w:tc>
      </w:tr>
      <w:tr w14:paraId="442FF516">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p w14:paraId="0000049A">
            <w:r>
              <w:rPr>
                <w:rtl w:val="0"/>
              </w:rPr>
              <w:t>(R)-p-mentha-1,8-diene</w:t>
            </w:r>
          </w:p>
        </w:tc>
        <w:tc>
          <w:p w14:paraId="0000049B">
            <w:r>
              <w:rPr>
                <w:rtl w:val="0"/>
              </w:rPr>
              <w:t>5989-27-5</w:t>
            </w:r>
          </w:p>
        </w:tc>
        <w:tc>
          <w:p w14:paraId="0000049C">
            <w:r>
              <w:rPr>
                <w:rtl w:val="0"/>
              </w:rPr>
              <w:t>227-813-5</w:t>
            </w:r>
          </w:p>
        </w:tc>
      </w:tr>
    </w:tbl>
    <w:p w14:paraId="0000049D">
      <w:r>
        <w:rPr>
          <w:rFonts w:ascii="Calibri" w:hAnsi="Calibri" w:eastAsia="Calibri" w:cs="Calibri"/>
          <w:b/>
          <w:color w:val="000000"/>
          <w:sz w:val="20"/>
          <w:szCs w:val="20"/>
          <w:rtl w:val="0"/>
        </w:rPr>
        <w:t>CLP: Harmonised classification and labelling of hazardous substances (Annex VI, table 3.1)_ATP 17</w:t>
      </w:r>
      <w:r>
        <w:rPr>
          <w:rtl w:val="0"/>
        </w:rPr>
        <w:t xml:space="preserve"> : </w:t>
      </w:r>
    </w:p>
    <w:tbl>
      <w:tblPr>
        <w:tblStyle w:val="182"/>
        <w:tblW w:w="1003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108" w:type="dxa"/>
          <w:bottom w:w="0" w:type="dxa"/>
          <w:right w:w="108" w:type="dxa"/>
        </w:tblCellMar>
      </w:tblPr>
      <w:tblGrid>
        <w:gridCol w:w="5499"/>
        <w:gridCol w:w="2268"/>
        <w:gridCol w:w="2268"/>
      </w:tblGrid>
      <w:tr w14:paraId="4D6AEE10">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tcPr>
            <w:tcBorders>
              <w:left w:val="single" w:color="A8D8A7" w:sz="24" w:space="0"/>
              <w:right w:val="single" w:color="A8D8A7" w:sz="24" w:space="0"/>
            </w:tcBorders>
            <w:shd w:val="clear" w:color="auto" w:fill="F2F2F2"/>
          </w:tcPr>
          <w:p w14:paraId="0000049E">
            <w:pPr>
              <w:spacing w:before="120" w:after="120"/>
              <w:rPr>
                <w:b/>
              </w:rPr>
            </w:pPr>
            <w:r>
              <w:rPr>
                <w:b/>
                <w:rtl w:val="0"/>
              </w:rPr>
              <w:t>Substance</w:t>
            </w:r>
          </w:p>
        </w:tc>
        <w:tc>
          <w:tcPr>
            <w:tcBorders>
              <w:left w:val="single" w:color="A8D8A7" w:sz="24" w:space="0"/>
              <w:right w:val="single" w:color="A8D8A7" w:sz="24" w:space="0"/>
            </w:tcBorders>
            <w:shd w:val="clear" w:color="auto" w:fill="F2F2F2"/>
          </w:tcPr>
          <w:p w14:paraId="0000049F">
            <w:pPr>
              <w:spacing w:before="120" w:after="120"/>
              <w:rPr>
                <w:b/>
              </w:rPr>
            </w:pPr>
            <w:r>
              <w:rPr>
                <w:b/>
                <w:rtl w:val="0"/>
              </w:rPr>
              <w:t>CAS</w:t>
            </w:r>
          </w:p>
        </w:tc>
        <w:tc>
          <w:tcPr>
            <w:tcBorders>
              <w:left w:val="single" w:color="A8D8A7" w:sz="24" w:space="0"/>
              <w:right w:val="single" w:color="A8D8A7" w:sz="24" w:space="0"/>
            </w:tcBorders>
            <w:shd w:val="clear" w:color="auto" w:fill="F2F2F2"/>
          </w:tcPr>
          <w:p w14:paraId="000004A0">
            <w:pPr>
              <w:spacing w:before="120" w:after="120"/>
              <w:rPr>
                <w:b/>
              </w:rPr>
            </w:pPr>
            <w:r>
              <w:rPr>
                <w:b/>
                <w:rtl w:val="0"/>
              </w:rPr>
              <w:t>EC</w:t>
            </w:r>
          </w:p>
        </w:tc>
      </w:tr>
      <w:tr w14:paraId="6A67852E">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p w14:paraId="000004A1">
            <w:r>
              <w:rPr>
                <w:rtl w:val="0"/>
              </w:rPr>
              <w:t>(R)-p-mentha-1,8-diene</w:t>
            </w:r>
          </w:p>
        </w:tc>
        <w:tc>
          <w:p w14:paraId="000004A2">
            <w:r>
              <w:rPr>
                <w:rtl w:val="0"/>
              </w:rPr>
              <w:t>5989-27-5</w:t>
            </w:r>
          </w:p>
        </w:tc>
        <w:tc>
          <w:p w14:paraId="000004A3">
            <w:r>
              <w:rPr>
                <w:rtl w:val="0"/>
              </w:rPr>
              <w:t>227-813-5</w:t>
            </w:r>
          </w:p>
        </w:tc>
      </w:tr>
    </w:tbl>
    <w:p w14:paraId="000004A4">
      <w:r>
        <w:rPr>
          <w:rFonts w:ascii="Calibri" w:hAnsi="Calibri" w:eastAsia="Calibri" w:cs="Calibri"/>
          <w:b/>
          <w:color w:val="000000"/>
          <w:sz w:val="20"/>
          <w:szCs w:val="20"/>
          <w:rtl w:val="0"/>
        </w:rPr>
        <w:t>REACH: Annex XVII (Restrictions)</w:t>
      </w:r>
      <w:r>
        <w:rPr>
          <w:rtl w:val="0"/>
        </w:rPr>
        <w:t xml:space="preserve"> : </w:t>
      </w:r>
    </w:p>
    <w:tbl>
      <w:tblPr>
        <w:tblStyle w:val="183"/>
        <w:tblW w:w="1003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108" w:type="dxa"/>
          <w:bottom w:w="0" w:type="dxa"/>
          <w:right w:w="108" w:type="dxa"/>
        </w:tblCellMar>
      </w:tblPr>
      <w:tblGrid>
        <w:gridCol w:w="5499"/>
        <w:gridCol w:w="2268"/>
        <w:gridCol w:w="2268"/>
      </w:tblGrid>
      <w:tr w14:paraId="3FD88119">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tcPr>
            <w:tcBorders>
              <w:left w:val="single" w:color="A8D8A7" w:sz="24" w:space="0"/>
              <w:right w:val="single" w:color="A8D8A7" w:sz="24" w:space="0"/>
            </w:tcBorders>
            <w:shd w:val="clear" w:color="auto" w:fill="F2F2F2"/>
          </w:tcPr>
          <w:p w14:paraId="000004A5">
            <w:pPr>
              <w:spacing w:before="120" w:after="120"/>
              <w:rPr>
                <w:b/>
              </w:rPr>
            </w:pPr>
            <w:r>
              <w:rPr>
                <w:b/>
                <w:rtl w:val="0"/>
              </w:rPr>
              <w:t>Substance</w:t>
            </w:r>
          </w:p>
        </w:tc>
        <w:tc>
          <w:tcPr>
            <w:tcBorders>
              <w:left w:val="single" w:color="A8D8A7" w:sz="24" w:space="0"/>
              <w:right w:val="single" w:color="A8D8A7" w:sz="24" w:space="0"/>
            </w:tcBorders>
            <w:shd w:val="clear" w:color="auto" w:fill="F2F2F2"/>
          </w:tcPr>
          <w:p w14:paraId="000004A6">
            <w:pPr>
              <w:spacing w:before="120" w:after="120"/>
              <w:rPr>
                <w:b/>
              </w:rPr>
            </w:pPr>
            <w:r>
              <w:rPr>
                <w:b/>
                <w:rtl w:val="0"/>
              </w:rPr>
              <w:t>CAS</w:t>
            </w:r>
          </w:p>
        </w:tc>
        <w:tc>
          <w:tcPr>
            <w:tcBorders>
              <w:left w:val="single" w:color="A8D8A7" w:sz="24" w:space="0"/>
              <w:right w:val="single" w:color="A8D8A7" w:sz="24" w:space="0"/>
            </w:tcBorders>
            <w:shd w:val="clear" w:color="auto" w:fill="F2F2F2"/>
          </w:tcPr>
          <w:p w14:paraId="000004A7">
            <w:pPr>
              <w:spacing w:before="120" w:after="120"/>
              <w:rPr>
                <w:b/>
              </w:rPr>
            </w:pPr>
            <w:r>
              <w:rPr>
                <w:b/>
                <w:rtl w:val="0"/>
              </w:rPr>
              <w:t>EC</w:t>
            </w:r>
          </w:p>
        </w:tc>
      </w:tr>
      <w:tr w14:paraId="6B78504B">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p w14:paraId="000004A8">
            <w:r>
              <w:rPr>
                <w:rtl w:val="0"/>
              </w:rPr>
              <w:t>(R)-p-mentha-1,8-diene</w:t>
            </w:r>
          </w:p>
        </w:tc>
        <w:tc>
          <w:p w14:paraId="000004A9">
            <w:r>
              <w:rPr>
                <w:rtl w:val="0"/>
              </w:rPr>
              <w:t>5989-27-5</w:t>
            </w:r>
          </w:p>
        </w:tc>
        <w:tc>
          <w:p w14:paraId="000004AA">
            <w:r>
              <w:rPr>
                <w:rtl w:val="0"/>
              </w:rPr>
              <w:t>227-813-5</w:t>
            </w:r>
          </w:p>
        </w:tc>
      </w:tr>
    </w:tbl>
    <w:p w14:paraId="000004AB"/>
    <w:p w14:paraId="000004AC">
      <w:pPr>
        <w:pStyle w:val="4"/>
      </w:pPr>
      <w:r>
        <w:rPr>
          <w:b/>
          <w:color w:val="000000"/>
          <w:rtl w:val="0"/>
        </w:rPr>
        <w:t>Réglementations nationales</w:t>
      </w:r>
      <w:r>
        <w:rPr>
          <w:rtl w:val="0"/>
        </w:rPr>
        <w:t xml:space="preserve"> : </w:t>
      </w:r>
    </w:p>
    <w:p w14:paraId="000004AD">
      <w:r>
        <w:rPr>
          <w:rFonts w:ascii="Calibri" w:hAnsi="Calibri" w:eastAsia="Calibri" w:cs="Calibri"/>
          <w:b/>
          <w:color w:val="000000"/>
          <w:sz w:val="20"/>
          <w:szCs w:val="20"/>
          <w:rtl w:val="0"/>
        </w:rPr>
        <w:t>Cosmetic Ingredient Hotlist</w:t>
      </w:r>
      <w:r>
        <w:rPr>
          <w:rtl w:val="0"/>
        </w:rPr>
        <w:t xml:space="preserve"> : </w:t>
      </w:r>
    </w:p>
    <w:tbl>
      <w:tblPr>
        <w:tblStyle w:val="184"/>
        <w:tblW w:w="1003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108" w:type="dxa"/>
          <w:bottom w:w="0" w:type="dxa"/>
          <w:right w:w="108" w:type="dxa"/>
        </w:tblCellMar>
      </w:tblPr>
      <w:tblGrid>
        <w:gridCol w:w="5499"/>
        <w:gridCol w:w="2268"/>
        <w:gridCol w:w="2268"/>
      </w:tblGrid>
      <w:tr w14:paraId="1EB6C385">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tcPr>
            <w:tcBorders>
              <w:left w:val="single" w:color="A8D8A7" w:sz="24" w:space="0"/>
              <w:right w:val="single" w:color="A8D8A7" w:sz="24" w:space="0"/>
            </w:tcBorders>
            <w:shd w:val="clear" w:color="auto" w:fill="F2F2F2"/>
          </w:tcPr>
          <w:p w14:paraId="000004AE">
            <w:pPr>
              <w:spacing w:before="120" w:after="120"/>
              <w:rPr>
                <w:b/>
              </w:rPr>
            </w:pPr>
            <w:r>
              <w:rPr>
                <w:b/>
                <w:rtl w:val="0"/>
              </w:rPr>
              <w:t>Substance</w:t>
            </w:r>
          </w:p>
        </w:tc>
        <w:tc>
          <w:tcPr>
            <w:tcBorders>
              <w:left w:val="single" w:color="A8D8A7" w:sz="24" w:space="0"/>
              <w:right w:val="single" w:color="A8D8A7" w:sz="24" w:space="0"/>
            </w:tcBorders>
            <w:shd w:val="clear" w:color="auto" w:fill="F2F2F2"/>
          </w:tcPr>
          <w:p w14:paraId="000004AF">
            <w:pPr>
              <w:spacing w:before="120" w:after="120"/>
              <w:rPr>
                <w:b/>
              </w:rPr>
            </w:pPr>
            <w:r>
              <w:rPr>
                <w:b/>
                <w:rtl w:val="0"/>
              </w:rPr>
              <w:t>CAS</w:t>
            </w:r>
          </w:p>
        </w:tc>
        <w:tc>
          <w:tcPr>
            <w:tcBorders>
              <w:left w:val="single" w:color="A8D8A7" w:sz="24" w:space="0"/>
              <w:right w:val="single" w:color="A8D8A7" w:sz="24" w:space="0"/>
            </w:tcBorders>
            <w:shd w:val="clear" w:color="auto" w:fill="F2F2F2"/>
          </w:tcPr>
          <w:p w14:paraId="000004B0">
            <w:pPr>
              <w:spacing w:before="120" w:after="120"/>
              <w:rPr>
                <w:b/>
              </w:rPr>
            </w:pPr>
            <w:r>
              <w:rPr>
                <w:b/>
                <w:rtl w:val="0"/>
              </w:rPr>
              <w:t>EC</w:t>
            </w:r>
          </w:p>
        </w:tc>
      </w:tr>
      <w:tr w14:paraId="12EE29B3">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p w14:paraId="000004B1">
            <w:r>
              <w:rPr>
                <w:rtl w:val="0"/>
              </w:rPr>
              <w:t>2-tert-butylhydroquinone</w:t>
            </w:r>
          </w:p>
        </w:tc>
        <w:tc>
          <w:p w14:paraId="000004B2">
            <w:r>
              <w:rPr>
                <w:rtl w:val="0"/>
              </w:rPr>
              <w:t>1948-33-0</w:t>
            </w:r>
          </w:p>
        </w:tc>
        <w:tc>
          <w:p w14:paraId="000004B3">
            <w:r>
              <w:rPr>
                <w:rtl w:val="0"/>
              </w:rPr>
              <w:t>217-752-2</w:t>
            </w:r>
          </w:p>
        </w:tc>
      </w:tr>
    </w:tbl>
    <w:p w14:paraId="000004B4">
      <w:r>
        <w:rPr>
          <w:rFonts w:ascii="Calibri" w:hAnsi="Calibri" w:eastAsia="Calibri" w:cs="Calibri"/>
          <w:b/>
          <w:color w:val="000000"/>
          <w:sz w:val="20"/>
          <w:szCs w:val="20"/>
          <w:rtl w:val="0"/>
        </w:rPr>
        <w:t>Occupational Exposure Limit Values (long term) - Switzerland</w:t>
      </w:r>
      <w:r>
        <w:rPr>
          <w:rtl w:val="0"/>
        </w:rPr>
        <w:t xml:space="preserve"> : </w:t>
      </w:r>
    </w:p>
    <w:tbl>
      <w:tblPr>
        <w:tblStyle w:val="185"/>
        <w:tblW w:w="1003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108" w:type="dxa"/>
          <w:bottom w:w="0" w:type="dxa"/>
          <w:right w:w="108" w:type="dxa"/>
        </w:tblCellMar>
      </w:tblPr>
      <w:tblGrid>
        <w:gridCol w:w="5499"/>
        <w:gridCol w:w="2268"/>
        <w:gridCol w:w="2268"/>
      </w:tblGrid>
      <w:tr w14:paraId="2930334D">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tcPr>
            <w:tcBorders>
              <w:left w:val="single" w:color="A8D8A7" w:sz="24" w:space="0"/>
              <w:right w:val="single" w:color="A8D8A7" w:sz="24" w:space="0"/>
            </w:tcBorders>
            <w:shd w:val="clear" w:color="auto" w:fill="F2F2F2"/>
          </w:tcPr>
          <w:p w14:paraId="000004B5">
            <w:pPr>
              <w:spacing w:before="120" w:after="120"/>
              <w:rPr>
                <w:b/>
              </w:rPr>
            </w:pPr>
            <w:r>
              <w:rPr>
                <w:b/>
                <w:rtl w:val="0"/>
              </w:rPr>
              <w:t>Substance</w:t>
            </w:r>
          </w:p>
        </w:tc>
        <w:tc>
          <w:tcPr>
            <w:tcBorders>
              <w:left w:val="single" w:color="A8D8A7" w:sz="24" w:space="0"/>
              <w:right w:val="single" w:color="A8D8A7" w:sz="24" w:space="0"/>
            </w:tcBorders>
            <w:shd w:val="clear" w:color="auto" w:fill="F2F2F2"/>
          </w:tcPr>
          <w:p w14:paraId="000004B6">
            <w:pPr>
              <w:spacing w:before="120" w:after="120"/>
              <w:rPr>
                <w:b/>
              </w:rPr>
            </w:pPr>
            <w:r>
              <w:rPr>
                <w:b/>
                <w:rtl w:val="0"/>
              </w:rPr>
              <w:t>CAS</w:t>
            </w:r>
          </w:p>
        </w:tc>
        <w:tc>
          <w:tcPr>
            <w:tcBorders>
              <w:left w:val="single" w:color="A8D8A7" w:sz="24" w:space="0"/>
              <w:right w:val="single" w:color="A8D8A7" w:sz="24" w:space="0"/>
            </w:tcBorders>
            <w:shd w:val="clear" w:color="auto" w:fill="F2F2F2"/>
          </w:tcPr>
          <w:p w14:paraId="000004B7">
            <w:pPr>
              <w:spacing w:before="120" w:after="120"/>
              <w:rPr>
                <w:b/>
              </w:rPr>
            </w:pPr>
            <w:r>
              <w:rPr>
                <w:b/>
                <w:rtl w:val="0"/>
              </w:rPr>
              <w:t>EC</w:t>
            </w:r>
          </w:p>
        </w:tc>
      </w:tr>
      <w:tr w14:paraId="3BD67D75">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p w14:paraId="000004B8">
            <w:r>
              <w:rPr>
                <w:rtl w:val="0"/>
              </w:rPr>
              <w:t>(R)-p-mentha-1,8-diene</w:t>
            </w:r>
          </w:p>
        </w:tc>
        <w:tc>
          <w:p w14:paraId="000004B9">
            <w:r>
              <w:rPr>
                <w:rtl w:val="0"/>
              </w:rPr>
              <w:t>5989-27-5</w:t>
            </w:r>
          </w:p>
        </w:tc>
        <w:tc>
          <w:p w14:paraId="000004BA">
            <w:r>
              <w:rPr>
                <w:rtl w:val="0"/>
              </w:rPr>
              <w:t>227-813-5</w:t>
            </w:r>
          </w:p>
        </w:tc>
      </w:tr>
    </w:tbl>
    <w:p w14:paraId="000004BB">
      <w:r>
        <w:rPr>
          <w:rFonts w:ascii="Calibri" w:hAnsi="Calibri" w:eastAsia="Calibri" w:cs="Calibri"/>
          <w:b/>
          <w:color w:val="000000"/>
          <w:sz w:val="20"/>
          <w:szCs w:val="20"/>
          <w:rtl w:val="0"/>
        </w:rPr>
        <w:t>Occupational Exposure Limit Values (short term) - Switzerland</w:t>
      </w:r>
      <w:r>
        <w:rPr>
          <w:rtl w:val="0"/>
        </w:rPr>
        <w:t xml:space="preserve"> : </w:t>
      </w:r>
    </w:p>
    <w:tbl>
      <w:tblPr>
        <w:tblStyle w:val="186"/>
        <w:tblW w:w="1003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top w:w="0" w:type="dxa"/>
          <w:left w:w="108" w:type="dxa"/>
          <w:bottom w:w="0" w:type="dxa"/>
          <w:right w:w="108" w:type="dxa"/>
        </w:tblCellMar>
      </w:tblPr>
      <w:tblGrid>
        <w:gridCol w:w="5499"/>
        <w:gridCol w:w="2268"/>
        <w:gridCol w:w="2268"/>
      </w:tblGrid>
      <w:tr w14:paraId="0C840415">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tcPr>
            <w:tcBorders>
              <w:left w:val="single" w:color="A8D8A7" w:sz="24" w:space="0"/>
              <w:right w:val="single" w:color="A8D8A7" w:sz="24" w:space="0"/>
            </w:tcBorders>
            <w:shd w:val="clear" w:color="auto" w:fill="F2F2F2"/>
          </w:tcPr>
          <w:p w14:paraId="000004BC">
            <w:pPr>
              <w:spacing w:before="120" w:after="120"/>
              <w:rPr>
                <w:b/>
              </w:rPr>
            </w:pPr>
            <w:r>
              <w:rPr>
                <w:b/>
                <w:rtl w:val="0"/>
              </w:rPr>
              <w:t>Substance</w:t>
            </w:r>
          </w:p>
        </w:tc>
        <w:tc>
          <w:tcPr>
            <w:tcBorders>
              <w:left w:val="single" w:color="A8D8A7" w:sz="24" w:space="0"/>
              <w:right w:val="single" w:color="A8D8A7" w:sz="24" w:space="0"/>
            </w:tcBorders>
            <w:shd w:val="clear" w:color="auto" w:fill="F2F2F2"/>
          </w:tcPr>
          <w:p w14:paraId="000004BD">
            <w:pPr>
              <w:spacing w:before="120" w:after="120"/>
              <w:rPr>
                <w:b/>
              </w:rPr>
            </w:pPr>
            <w:r>
              <w:rPr>
                <w:b/>
                <w:rtl w:val="0"/>
              </w:rPr>
              <w:t>CAS</w:t>
            </w:r>
          </w:p>
        </w:tc>
        <w:tc>
          <w:tcPr>
            <w:tcBorders>
              <w:left w:val="single" w:color="A8D8A7" w:sz="24" w:space="0"/>
              <w:right w:val="single" w:color="A8D8A7" w:sz="24" w:space="0"/>
            </w:tcBorders>
            <w:shd w:val="clear" w:color="auto" w:fill="F2F2F2"/>
          </w:tcPr>
          <w:p w14:paraId="000004BE">
            <w:pPr>
              <w:spacing w:before="120" w:after="120"/>
              <w:rPr>
                <w:b/>
              </w:rPr>
            </w:pPr>
            <w:r>
              <w:rPr>
                <w:b/>
                <w:rtl w:val="0"/>
              </w:rPr>
              <w:t>EC</w:t>
            </w:r>
          </w:p>
        </w:tc>
      </w:tr>
      <w:tr w14:paraId="15F705F9">
        <w:tblPrEx>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PrEx>
        <w:tc>
          <w:p w14:paraId="000004BF">
            <w:r>
              <w:rPr>
                <w:rtl w:val="0"/>
              </w:rPr>
              <w:t>(R)-p-mentha-1,8-diene</w:t>
            </w:r>
          </w:p>
        </w:tc>
        <w:tc>
          <w:p w14:paraId="000004C0">
            <w:r>
              <w:rPr>
                <w:rtl w:val="0"/>
              </w:rPr>
              <w:t>5989-27-5</w:t>
            </w:r>
          </w:p>
        </w:tc>
        <w:tc>
          <w:p w14:paraId="000004C1">
            <w:r>
              <w:rPr>
                <w:rtl w:val="0"/>
              </w:rPr>
              <w:t>227-813-5</w:t>
            </w:r>
          </w:p>
        </w:tc>
      </w:tr>
    </w:tbl>
    <w:p w14:paraId="000004C2"/>
    <w:tbl>
      <w:tblPr>
        <w:tblStyle w:val="18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59573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C3"/>
        </w:tc>
        <w:tc>
          <w:p w14:paraId="000004C4">
            <w:pPr>
              <w:pStyle w:val="3"/>
              <w:spacing w:after="0" w:line="240" w:lineRule="auto"/>
              <w:rPr>
                <w:sz w:val="28"/>
                <w:szCs w:val="28"/>
              </w:rPr>
            </w:pPr>
            <w:r>
              <w:rPr>
                <w:rtl w:val="0"/>
              </w:rPr>
              <w:t>15.2</w:t>
            </w:r>
          </w:p>
        </w:tc>
        <w:tc>
          <w:p w14:paraId="000004C5">
            <w:pPr>
              <w:pStyle w:val="3"/>
              <w:spacing w:after="0" w:line="240" w:lineRule="auto"/>
            </w:pPr>
            <w:r>
              <w:rPr>
                <w:rtl w:val="0"/>
              </w:rPr>
              <w:t>Évaluation de la sécurité chimique</w:t>
            </w:r>
          </w:p>
        </w:tc>
      </w:tr>
      <w:tr w14:paraId="5A834B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C6"/>
        </w:tc>
        <w:tc>
          <w:p w14:paraId="000004C7"/>
        </w:tc>
        <w:tc>
          <w:p w14:paraId="000004C8">
            <w:r>
              <w:rPr>
                <w:sz w:val="12"/>
                <w:szCs w:val="12"/>
              </w:rPr>
              <w:drawing>
                <wp:inline distT="0" distB="0" distL="0" distR="0">
                  <wp:extent cx="405765" cy="37465"/>
                  <wp:effectExtent l="0" t="0" r="0" b="0"/>
                  <wp:docPr id="68" name="image1.jpg"/>
                  <wp:cNvGraphicFramePr/>
                  <a:graphic xmlns:a="http://schemas.openxmlformats.org/drawingml/2006/main">
                    <a:graphicData uri="http://schemas.openxmlformats.org/drawingml/2006/picture">
                      <pic:pic xmlns:pic="http://schemas.openxmlformats.org/drawingml/2006/picture">
                        <pic:nvPicPr>
                          <pic:cNvPr id="6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C9">
      <w:r>
        <w:rPr>
          <w:rtl w:val="0"/>
        </w:rPr>
        <w:t>Aucune évaluation de la sécurité chimique n'a été effectuée pour cette substance/ce mélange par le fournisseur.</w:t>
      </w:r>
    </w:p>
    <w:tbl>
      <w:tblPr>
        <w:tblStyle w:val="188"/>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7D4AE4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CA"/>
        </w:tc>
        <w:tc>
          <w:p w14:paraId="000004CB">
            <w:pPr>
              <w:pStyle w:val="3"/>
              <w:spacing w:after="0" w:line="240" w:lineRule="auto"/>
              <w:rPr>
                <w:sz w:val="28"/>
                <w:szCs w:val="28"/>
              </w:rPr>
            </w:pPr>
            <w:r>
              <w:rPr>
                <w:rtl w:val="0"/>
              </w:rPr>
              <w:t>15.3</w:t>
            </w:r>
          </w:p>
        </w:tc>
        <w:tc>
          <w:p w14:paraId="000004CC">
            <w:pPr>
              <w:pStyle w:val="3"/>
              <w:spacing w:after="0" w:line="240" w:lineRule="auto"/>
            </w:pPr>
            <w:r>
              <w:rPr>
                <w:rtl w:val="0"/>
              </w:rPr>
              <w:t>Informations complémentaires</w:t>
            </w:r>
          </w:p>
        </w:tc>
      </w:tr>
      <w:tr w14:paraId="245684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CD"/>
        </w:tc>
        <w:tc>
          <w:p w14:paraId="000004CE"/>
        </w:tc>
        <w:tc>
          <w:p w14:paraId="000004CF">
            <w:r>
              <w:rPr>
                <w:sz w:val="12"/>
                <w:szCs w:val="12"/>
              </w:rPr>
              <w:drawing>
                <wp:inline distT="0" distB="0" distL="0" distR="0">
                  <wp:extent cx="405765" cy="37465"/>
                  <wp:effectExtent l="0" t="0" r="0" b="0"/>
                  <wp:docPr id="69" name="image1.jpg"/>
                  <wp:cNvGraphicFramePr/>
                  <a:graphic xmlns:a="http://schemas.openxmlformats.org/drawingml/2006/main">
                    <a:graphicData uri="http://schemas.openxmlformats.org/drawingml/2006/picture">
                      <pic:pic xmlns:pic="http://schemas.openxmlformats.org/drawingml/2006/picture">
                        <pic:nvPicPr>
                          <pic:cNvPr id="69"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D0">
      <w:r>
        <w:rPr>
          <w:rtl w:val="0"/>
        </w:rPr>
        <w:t>Pas de données disponibles</w:t>
      </w:r>
    </w:p>
    <w:tbl>
      <w:tblPr>
        <w:tblStyle w:val="189"/>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283"/>
        <w:gridCol w:w="624"/>
        <w:gridCol w:w="9978"/>
        <w:gridCol w:w="57"/>
      </w:tblGrid>
      <w:tr w14:paraId="3D646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cantSplit/>
          <w:trHeight w:val="907" w:hRule="atLeast"/>
        </w:trPr>
        <w:tc>
          <w:tcPr>
            <w:shd w:val="clear" w:color="auto" w:fill="A8D8A7"/>
            <w:vAlign w:val="center"/>
          </w:tcPr>
          <w:p w14:paraId="000004D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8D8A7"/>
            <w:vAlign w:val="center"/>
          </w:tcPr>
          <w:p w14:paraId="000004D2">
            <w:pPr>
              <w:jc w:val="center"/>
              <w:rPr>
                <w:b/>
                <w:sz w:val="16"/>
                <w:szCs w:val="16"/>
              </w:rPr>
            </w:pPr>
            <w:r>
              <w:rPr>
                <w:b/>
                <w:sz w:val="16"/>
                <w:szCs w:val="16"/>
                <w:rtl w:val="0"/>
              </w:rPr>
              <w:t>section</w:t>
            </w:r>
          </w:p>
        </w:tc>
        <w:tc>
          <w:tcPr>
            <w:shd w:val="clear" w:color="auto" w:fill="A8D8A7"/>
            <w:vAlign w:val="center"/>
          </w:tcPr>
          <w:p w14:paraId="000004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120" w:line="240" w:lineRule="auto"/>
              <w:ind w:left="0" w:right="0" w:firstLine="0"/>
              <w:jc w:val="left"/>
              <w:rPr>
                <w:rFonts w:ascii="Calibri" w:hAnsi="Calibri" w:eastAsia="Calibri" w:cs="Calibri"/>
                <w:b/>
                <w:i w:val="0"/>
                <w:smallCaps w:val="0"/>
                <w:strike w:val="0"/>
                <w:color w:val="000000"/>
                <w:sz w:val="48"/>
                <w:szCs w:val="48"/>
                <w:u w:val="none"/>
                <w:shd w:val="clear" w:fill="auto"/>
                <w:vertAlign w:val="baseline"/>
              </w:rPr>
            </w:pPr>
            <w:r>
              <w:rPr>
                <w:rFonts w:ascii="Calibri" w:hAnsi="Calibri" w:eastAsia="Calibri" w:cs="Calibri"/>
                <w:b/>
                <w:i w:val="0"/>
                <w:smallCaps w:val="0"/>
                <w:strike w:val="0"/>
                <w:color w:val="000000"/>
                <w:sz w:val="48"/>
                <w:szCs w:val="48"/>
                <w:u w:val="none"/>
                <w:shd w:val="clear" w:fill="auto"/>
                <w:vertAlign w:val="baseline"/>
                <w:rtl w:val="0"/>
              </w:rPr>
              <w:t>16</w:t>
            </w:r>
          </w:p>
        </w:tc>
        <w:tc>
          <w:tcPr>
            <w:shd w:val="clear" w:color="auto" w:fill="A8D8A7"/>
            <w:vAlign w:val="center"/>
          </w:tcPr>
          <w:p w14:paraId="000004D4">
            <w:pPr>
              <w:pStyle w:val="2"/>
              <w:spacing w:line="240" w:lineRule="auto"/>
            </w:pPr>
            <w:r>
              <w:rPr>
                <w:rtl w:val="0"/>
              </w:rPr>
              <w:t>Autres informations</w:t>
            </w:r>
          </w:p>
        </w:tc>
        <w:tc>
          <w:tcPr>
            <w:shd w:val="clear" w:color="auto" w:fill="A8D8A7"/>
            <w:vAlign w:val="center"/>
          </w:tcPr>
          <w:p w14:paraId="000004D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tc>
      </w:tr>
    </w:tbl>
    <w:p w14:paraId="000004D6"/>
    <w:tbl>
      <w:tblPr>
        <w:tblStyle w:val="190"/>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CA4777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D7"/>
        </w:tc>
        <w:tc>
          <w:p w14:paraId="000004D8">
            <w:pPr>
              <w:pStyle w:val="3"/>
              <w:spacing w:after="0" w:line="240" w:lineRule="auto"/>
              <w:rPr>
                <w:sz w:val="28"/>
                <w:szCs w:val="28"/>
              </w:rPr>
            </w:pPr>
            <w:r>
              <w:rPr>
                <w:rtl w:val="0"/>
              </w:rPr>
              <w:t>16.1</w:t>
            </w:r>
          </w:p>
        </w:tc>
        <w:tc>
          <w:p w14:paraId="000004D9">
            <w:pPr>
              <w:pStyle w:val="3"/>
              <w:spacing w:after="0" w:line="240" w:lineRule="auto"/>
            </w:pPr>
            <w:r>
              <w:rPr>
                <w:rtl w:val="0"/>
              </w:rPr>
              <w:t>Indication des changements</w:t>
            </w:r>
          </w:p>
        </w:tc>
      </w:tr>
      <w:tr w14:paraId="72C6A5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DA"/>
        </w:tc>
        <w:tc>
          <w:p w14:paraId="000004DB"/>
        </w:tc>
        <w:tc>
          <w:p w14:paraId="000004DC">
            <w:r>
              <w:rPr>
                <w:sz w:val="12"/>
                <w:szCs w:val="12"/>
              </w:rPr>
              <w:drawing>
                <wp:inline distT="0" distB="0" distL="0" distR="0">
                  <wp:extent cx="405765" cy="37465"/>
                  <wp:effectExtent l="0" t="0" r="0" b="0"/>
                  <wp:docPr id="92" name="image1.jpg"/>
                  <wp:cNvGraphicFramePr/>
                  <a:graphic xmlns:a="http://schemas.openxmlformats.org/drawingml/2006/main">
                    <a:graphicData uri="http://schemas.openxmlformats.org/drawingml/2006/picture">
                      <pic:pic xmlns:pic="http://schemas.openxmlformats.org/drawingml/2006/picture">
                        <pic:nvPicPr>
                          <pic:cNvPr id="92"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DD">
      <w:r>
        <w:rPr>
          <w:rtl w:val="0"/>
        </w:rPr>
        <w:t>Non applicable (première édition de la FDS).</w:t>
      </w:r>
    </w:p>
    <w:tbl>
      <w:tblPr>
        <w:tblStyle w:val="191"/>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440436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DE"/>
        </w:tc>
        <w:tc>
          <w:p w14:paraId="000004DF">
            <w:pPr>
              <w:pStyle w:val="3"/>
              <w:spacing w:after="0" w:line="240" w:lineRule="auto"/>
              <w:rPr>
                <w:sz w:val="28"/>
                <w:szCs w:val="28"/>
              </w:rPr>
            </w:pPr>
            <w:r>
              <w:rPr>
                <w:rtl w:val="0"/>
              </w:rPr>
              <w:t>16.2</w:t>
            </w:r>
          </w:p>
        </w:tc>
        <w:tc>
          <w:p w14:paraId="000004E0">
            <w:pPr>
              <w:pStyle w:val="3"/>
              <w:spacing w:after="0" w:line="240" w:lineRule="auto"/>
            </w:pPr>
            <w:r>
              <w:rPr>
                <w:rtl w:val="0"/>
              </w:rPr>
              <w:t>Légende des abréviations et acronymes</w:t>
            </w:r>
          </w:p>
        </w:tc>
      </w:tr>
      <w:tr w14:paraId="26EF8E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E1"/>
        </w:tc>
        <w:tc>
          <w:p w14:paraId="000004E2"/>
        </w:tc>
        <w:tc>
          <w:p w14:paraId="000004E3">
            <w:r>
              <w:rPr>
                <w:sz w:val="12"/>
                <w:szCs w:val="12"/>
              </w:rPr>
              <w:drawing>
                <wp:inline distT="0" distB="0" distL="0" distR="0">
                  <wp:extent cx="405765" cy="37465"/>
                  <wp:effectExtent l="0" t="0" r="0" b="0"/>
                  <wp:docPr id="93" name="image1.jpg"/>
                  <wp:cNvGraphicFramePr/>
                  <a:graphic xmlns:a="http://schemas.openxmlformats.org/drawingml/2006/main">
                    <a:graphicData uri="http://schemas.openxmlformats.org/drawingml/2006/picture">
                      <pic:pic xmlns:pic="http://schemas.openxmlformats.org/drawingml/2006/picture">
                        <pic:nvPicPr>
                          <pic:cNvPr id="93"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E4">
      <w:r>
        <w:rPr>
          <w:rtl w:val="0"/>
        </w:rPr>
        <w:t>N ° CAS : Numéro du Chemical Abstract Service.</w:t>
      </w:r>
    </w:p>
    <w:p w14:paraId="000004E5">
      <w:r>
        <w:rPr>
          <w:rtl w:val="0"/>
        </w:rPr>
        <w:t>IATA : International Air Transport Association.</w:t>
      </w:r>
    </w:p>
    <w:p w14:paraId="000004E6">
      <w:r>
        <w:rPr>
          <w:rtl w:val="0"/>
        </w:rPr>
        <w:t>IMDG : Code maritime international des marchandises dangereuses.</w:t>
      </w:r>
    </w:p>
    <w:p w14:paraId="000004E7">
      <w:r>
        <w:rPr>
          <w:rtl w:val="0"/>
        </w:rPr>
        <w:t>DPD : Directive Préparation Dangereuses.</w:t>
      </w:r>
    </w:p>
    <w:p w14:paraId="000004E8">
      <w:r>
        <w:rPr>
          <w:rtl w:val="0"/>
        </w:rPr>
        <w:t>N° ONU: Numéro des Nations Unies.</w:t>
      </w:r>
    </w:p>
    <w:p w14:paraId="000004E9">
      <w:r>
        <w:rPr>
          <w:rtl w:val="0"/>
        </w:rPr>
        <w:t>N° EC : Numéro Commission européenne.</w:t>
      </w:r>
    </w:p>
    <w:p w14:paraId="000004EA">
      <w:r>
        <w:rPr>
          <w:rtl w:val="0"/>
        </w:rPr>
        <w:t>ADN/ADNR : Règlement concernant le transport de substances dangereuses dans des barges sur les voies navigables.</w:t>
      </w:r>
    </w:p>
    <w:p w14:paraId="000004EB">
      <w:r>
        <w:rPr>
          <w:rtl w:val="0"/>
        </w:rPr>
        <w:t>ADR/RID : Accord européen relatif au transport international des marchandises dangereuses par route/Règlement concernant le transport international des marchandises dangereuses par chemin de fer.</w:t>
      </w:r>
    </w:p>
    <w:p w14:paraId="000004EC">
      <w:r>
        <w:rPr>
          <w:rtl w:val="0"/>
        </w:rPr>
        <w:t>CLP: Classification, étiquetage et emballage.</w:t>
      </w:r>
    </w:p>
    <w:p w14:paraId="000004ED">
      <w:r>
        <w:rPr>
          <w:rtl w:val="0"/>
        </w:rPr>
        <w:t>VPvB : substances très persistantes et très bioaccumulables.</w:t>
      </w:r>
    </w:p>
    <w:tbl>
      <w:tblPr>
        <w:tblStyle w:val="192"/>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3FAD9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EE"/>
        </w:tc>
        <w:tc>
          <w:p w14:paraId="000004EF">
            <w:pPr>
              <w:pStyle w:val="3"/>
              <w:spacing w:after="0" w:line="240" w:lineRule="auto"/>
              <w:rPr>
                <w:sz w:val="28"/>
                <w:szCs w:val="28"/>
              </w:rPr>
            </w:pPr>
            <w:r>
              <w:rPr>
                <w:rtl w:val="0"/>
              </w:rPr>
              <w:t>16.3</w:t>
            </w:r>
          </w:p>
        </w:tc>
        <w:tc>
          <w:p w14:paraId="000004F0">
            <w:pPr>
              <w:pStyle w:val="3"/>
              <w:spacing w:after="0" w:line="240" w:lineRule="auto"/>
            </w:pPr>
            <w:r>
              <w:rPr>
                <w:rtl w:val="0"/>
              </w:rPr>
              <w:t>Références bibliographiques et sources de données</w:t>
            </w:r>
          </w:p>
        </w:tc>
      </w:tr>
      <w:tr w14:paraId="56D0295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F1"/>
        </w:tc>
        <w:tc>
          <w:p w14:paraId="000004F2"/>
        </w:tc>
        <w:tc>
          <w:p w14:paraId="000004F3">
            <w:r>
              <w:rPr>
                <w:sz w:val="12"/>
                <w:szCs w:val="12"/>
              </w:rPr>
              <w:drawing>
                <wp:inline distT="0" distB="0" distL="0" distR="0">
                  <wp:extent cx="405765" cy="37465"/>
                  <wp:effectExtent l="0" t="0" r="0" b="0"/>
                  <wp:docPr id="94" name="image1.jpg"/>
                  <wp:cNvGraphicFramePr/>
                  <a:graphic xmlns:a="http://schemas.openxmlformats.org/drawingml/2006/main">
                    <a:graphicData uri="http://schemas.openxmlformats.org/drawingml/2006/picture">
                      <pic:pic xmlns:pic="http://schemas.openxmlformats.org/drawingml/2006/picture">
                        <pic:nvPicPr>
                          <pic:cNvPr id="94"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F4">
      <w:r>
        <w:rPr>
          <w:rtl w:val="0"/>
        </w:rPr>
        <w:t>Aucune donnée disponible.</w:t>
      </w:r>
    </w:p>
    <w:tbl>
      <w:tblPr>
        <w:tblStyle w:val="193"/>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3272E9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F5"/>
        </w:tc>
        <w:tc>
          <w:p w14:paraId="000004F6">
            <w:pPr>
              <w:pStyle w:val="3"/>
              <w:spacing w:after="0" w:line="240" w:lineRule="auto"/>
              <w:rPr>
                <w:sz w:val="28"/>
                <w:szCs w:val="28"/>
              </w:rPr>
            </w:pPr>
            <w:r>
              <w:rPr>
                <w:rtl w:val="0"/>
              </w:rPr>
              <w:t>16.4</w:t>
            </w:r>
          </w:p>
        </w:tc>
        <w:tc>
          <w:p w14:paraId="000004F7">
            <w:pPr>
              <w:pStyle w:val="3"/>
              <w:spacing w:after="0" w:line="240" w:lineRule="auto"/>
            </w:pPr>
            <w:r>
              <w:rPr>
                <w:rtl w:val="0"/>
              </w:rPr>
              <w:t>Classification des mélanges et méthode d'évaluation utilisée selon le règlement (CE) n ° 1272/2008 [CLP]</w:t>
            </w:r>
          </w:p>
        </w:tc>
      </w:tr>
      <w:tr w14:paraId="74997A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4F8"/>
        </w:tc>
        <w:tc>
          <w:p w14:paraId="000004F9"/>
        </w:tc>
        <w:tc>
          <w:p w14:paraId="000004FA">
            <w:r>
              <w:rPr>
                <w:sz w:val="12"/>
                <w:szCs w:val="12"/>
              </w:rPr>
              <w:drawing>
                <wp:inline distT="0" distB="0" distL="0" distR="0">
                  <wp:extent cx="405765" cy="37465"/>
                  <wp:effectExtent l="0" t="0" r="0" b="0"/>
                  <wp:docPr id="95" name="image1.jpg"/>
                  <wp:cNvGraphicFramePr/>
                  <a:graphic xmlns:a="http://schemas.openxmlformats.org/drawingml/2006/main">
                    <a:graphicData uri="http://schemas.openxmlformats.org/drawingml/2006/picture">
                      <pic:pic xmlns:pic="http://schemas.openxmlformats.org/drawingml/2006/picture">
                        <pic:nvPicPr>
                          <pic:cNvPr id="95"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4FB">
      <w:r>
        <w:rPr>
          <w:rtl w:val="0"/>
        </w:rPr>
        <w:t>Conforme à l'ATP 14, règlement (UE) n°2020/217.</w:t>
      </w:r>
    </w:p>
    <w:p w14:paraId="000004FC">
      <w:r>
        <w:rPr>
          <w:rtl w:val="0"/>
        </w:rPr>
        <w:t>La classification du mélange est conforme à la méthode d'évaluation décrite dans le règlement (CE) n° 1272/2008.</w:t>
      </w:r>
    </w:p>
    <w:tbl>
      <w:tblPr>
        <w:tblStyle w:val="194"/>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56A458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4FD"/>
        </w:tc>
        <w:tc>
          <w:p w14:paraId="000004FE">
            <w:pPr>
              <w:pStyle w:val="3"/>
              <w:spacing w:after="0" w:line="240" w:lineRule="auto"/>
              <w:rPr>
                <w:sz w:val="28"/>
                <w:szCs w:val="28"/>
              </w:rPr>
            </w:pPr>
            <w:r>
              <w:rPr>
                <w:rtl w:val="0"/>
              </w:rPr>
              <w:t>16.5</w:t>
            </w:r>
          </w:p>
        </w:tc>
        <w:tc>
          <w:p w14:paraId="000004FF">
            <w:pPr>
              <w:pStyle w:val="3"/>
              <w:spacing w:after="0" w:line="240" w:lineRule="auto"/>
            </w:pPr>
            <w:r>
              <w:rPr>
                <w:rtl w:val="0"/>
              </w:rPr>
              <w:t>Phrases pertinentes R-, H- et EUH (Numéro et texte intégral)</w:t>
            </w:r>
          </w:p>
        </w:tc>
      </w:tr>
      <w:tr w14:paraId="36FA08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00"/>
        </w:tc>
        <w:tc>
          <w:p w14:paraId="00000501"/>
        </w:tc>
        <w:tc>
          <w:p w14:paraId="00000502">
            <w:r>
              <w:rPr>
                <w:sz w:val="12"/>
                <w:szCs w:val="12"/>
              </w:rPr>
              <w:drawing>
                <wp:inline distT="0" distB="0" distL="0" distR="0">
                  <wp:extent cx="405765" cy="37465"/>
                  <wp:effectExtent l="0" t="0" r="0" b="0"/>
                  <wp:docPr id="96" name="image1.jpg"/>
                  <wp:cNvGraphicFramePr/>
                  <a:graphic xmlns:a="http://schemas.openxmlformats.org/drawingml/2006/main">
                    <a:graphicData uri="http://schemas.openxmlformats.org/drawingml/2006/picture">
                      <pic:pic xmlns:pic="http://schemas.openxmlformats.org/drawingml/2006/picture">
                        <pic:nvPicPr>
                          <pic:cNvPr id="96"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503"/>
    <w:tbl>
      <w:tblPr>
        <w:tblStyle w:val="195"/>
        <w:tblW w:w="1003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108" w:type="dxa"/>
        </w:tblCellMar>
      </w:tblPr>
      <w:tblGrid>
        <w:gridCol w:w="1134"/>
        <w:gridCol w:w="2835"/>
        <w:gridCol w:w="6066"/>
      </w:tblGrid>
      <w:tr w14:paraId="742BB6E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04">
            <w:pPr>
              <w:rPr>
                <w:b/>
              </w:rPr>
            </w:pPr>
            <w:r>
              <w:rPr>
                <w:rtl w:val="0"/>
              </w:rPr>
              <w:t>H226</w:t>
            </w:r>
          </w:p>
        </w:tc>
        <w:tc>
          <w:p w14:paraId="00000505">
            <w:r>
              <w:rPr>
                <w:rtl w:val="0"/>
              </w:rPr>
              <w:t>Flam. Liq. 3</w:t>
            </w:r>
          </w:p>
        </w:tc>
        <w:tc>
          <w:p w14:paraId="00000506">
            <w:r>
              <w:rPr>
                <w:rtl w:val="0"/>
              </w:rPr>
              <w:t>Liquide et vapeurs inflammables.</w:t>
            </w:r>
          </w:p>
        </w:tc>
      </w:tr>
      <w:tr w14:paraId="6D140F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07">
            <w:pPr>
              <w:rPr>
                <w:b/>
              </w:rPr>
            </w:pPr>
            <w:r>
              <w:rPr>
                <w:rtl w:val="0"/>
              </w:rPr>
              <w:t>H302</w:t>
            </w:r>
          </w:p>
        </w:tc>
        <w:tc>
          <w:p w14:paraId="00000508">
            <w:r>
              <w:rPr>
                <w:rtl w:val="0"/>
              </w:rPr>
              <w:t>Acute Tox. 4 ORAL</w:t>
            </w:r>
          </w:p>
        </w:tc>
        <w:tc>
          <w:p w14:paraId="00000509">
            <w:r>
              <w:rPr>
                <w:rtl w:val="0"/>
              </w:rPr>
              <w:t>Nocif en cas d'ingestion</w:t>
            </w:r>
          </w:p>
        </w:tc>
      </w:tr>
      <w:tr w14:paraId="314FF7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0A">
            <w:pPr>
              <w:rPr>
                <w:b/>
              </w:rPr>
            </w:pPr>
            <w:r>
              <w:rPr>
                <w:rtl w:val="0"/>
              </w:rPr>
              <w:t>H304</w:t>
            </w:r>
          </w:p>
        </w:tc>
        <w:tc>
          <w:p w14:paraId="0000050B">
            <w:r>
              <w:rPr>
                <w:rtl w:val="0"/>
              </w:rPr>
              <w:t>Asp. Tox. 1</w:t>
            </w:r>
          </w:p>
        </w:tc>
        <w:tc>
          <w:p w14:paraId="0000050C">
            <w:r>
              <w:rPr>
                <w:rtl w:val="0"/>
              </w:rPr>
              <w:t>Peut être mortel en cas d'ingestion et de pénétration dans les voies respiratoires.</w:t>
            </w:r>
          </w:p>
        </w:tc>
      </w:tr>
      <w:tr w14:paraId="70544C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0D">
            <w:pPr>
              <w:rPr>
                <w:b/>
              </w:rPr>
            </w:pPr>
            <w:r>
              <w:rPr>
                <w:rtl w:val="0"/>
              </w:rPr>
              <w:t>H312</w:t>
            </w:r>
          </w:p>
        </w:tc>
        <w:tc>
          <w:p w14:paraId="0000050E">
            <w:r>
              <w:rPr>
                <w:rtl w:val="0"/>
              </w:rPr>
              <w:t>Acute Tox. 4 DERMAL</w:t>
            </w:r>
          </w:p>
        </w:tc>
        <w:tc>
          <w:p w14:paraId="0000050F">
            <w:r>
              <w:rPr>
                <w:rtl w:val="0"/>
              </w:rPr>
              <w:t>Nocif par contact avec la peau.</w:t>
            </w:r>
          </w:p>
        </w:tc>
      </w:tr>
      <w:tr w14:paraId="6A0C0DF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10">
            <w:pPr>
              <w:rPr>
                <w:b/>
              </w:rPr>
            </w:pPr>
            <w:r>
              <w:rPr>
                <w:rtl w:val="0"/>
              </w:rPr>
              <w:t>H315</w:t>
            </w:r>
          </w:p>
        </w:tc>
        <w:tc>
          <w:p w14:paraId="00000511">
            <w:r>
              <w:rPr>
                <w:rtl w:val="0"/>
              </w:rPr>
              <w:t>Skin Irrit. 2</w:t>
            </w:r>
          </w:p>
        </w:tc>
        <w:tc>
          <w:p w14:paraId="00000512">
            <w:r>
              <w:rPr>
                <w:rtl w:val="0"/>
              </w:rPr>
              <w:t>Provoque une irritation cutanée.</w:t>
            </w:r>
          </w:p>
        </w:tc>
      </w:tr>
      <w:tr w14:paraId="508D01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13">
            <w:pPr>
              <w:rPr>
                <w:b/>
              </w:rPr>
            </w:pPr>
            <w:r>
              <w:rPr>
                <w:rtl w:val="0"/>
              </w:rPr>
              <w:t>H317</w:t>
            </w:r>
          </w:p>
        </w:tc>
        <w:tc>
          <w:p w14:paraId="00000514">
            <w:r>
              <w:rPr>
                <w:rtl w:val="0"/>
              </w:rPr>
              <w:t>Skin Sens. 1B</w:t>
            </w:r>
          </w:p>
        </w:tc>
        <w:tc>
          <w:p w14:paraId="00000515">
            <w:r>
              <w:rPr>
                <w:rtl w:val="0"/>
              </w:rPr>
              <w:t>Peut provoquer une allergie cutanée.</w:t>
            </w:r>
          </w:p>
        </w:tc>
      </w:tr>
      <w:tr w14:paraId="4AC8F42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16">
            <w:pPr>
              <w:rPr>
                <w:b/>
              </w:rPr>
            </w:pPr>
            <w:r>
              <w:rPr>
                <w:rtl w:val="0"/>
              </w:rPr>
              <w:t>H319</w:t>
            </w:r>
          </w:p>
        </w:tc>
        <w:tc>
          <w:p w14:paraId="00000517">
            <w:r>
              <w:rPr>
                <w:rtl w:val="0"/>
              </w:rPr>
              <w:t>Eye Irrit. 2</w:t>
            </w:r>
          </w:p>
        </w:tc>
        <w:tc>
          <w:p w14:paraId="00000518">
            <w:r>
              <w:rPr>
                <w:rtl w:val="0"/>
              </w:rPr>
              <w:t>Provoque une sévère irritation des yeux</w:t>
            </w:r>
          </w:p>
        </w:tc>
      </w:tr>
      <w:tr w14:paraId="15B8BE6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19">
            <w:pPr>
              <w:rPr>
                <w:b/>
              </w:rPr>
            </w:pPr>
            <w:r>
              <w:rPr>
                <w:rtl w:val="0"/>
              </w:rPr>
              <w:t>H400</w:t>
            </w:r>
          </w:p>
        </w:tc>
        <w:tc>
          <w:p w14:paraId="0000051A">
            <w:r>
              <w:rPr>
                <w:rtl w:val="0"/>
              </w:rPr>
              <w:t>Aquatic Acute 1</w:t>
            </w:r>
          </w:p>
        </w:tc>
        <w:tc>
          <w:p w14:paraId="0000051B">
            <w:r>
              <w:rPr>
                <w:rtl w:val="0"/>
              </w:rPr>
              <w:t>Très toxique pour les organismes aquatiques.</w:t>
            </w:r>
          </w:p>
        </w:tc>
      </w:tr>
      <w:tr w14:paraId="5CE9BE7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1C">
            <w:pPr>
              <w:rPr>
                <w:b/>
              </w:rPr>
            </w:pPr>
            <w:r>
              <w:rPr>
                <w:rtl w:val="0"/>
              </w:rPr>
              <w:t>H410</w:t>
            </w:r>
          </w:p>
        </w:tc>
        <w:tc>
          <w:p w14:paraId="0000051D">
            <w:r>
              <w:rPr>
                <w:rtl w:val="0"/>
              </w:rPr>
              <w:t>Aquatic Chronic 1</w:t>
            </w:r>
          </w:p>
        </w:tc>
        <w:tc>
          <w:p w14:paraId="0000051E">
            <w:r>
              <w:rPr>
                <w:rtl w:val="0"/>
              </w:rPr>
              <w:t>Très toxique pour les organismes aquatiques, entraîne des effets néfastes à long terme.</w:t>
            </w:r>
          </w:p>
        </w:tc>
      </w:tr>
      <w:tr w14:paraId="5F485AE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1F">
            <w:pPr>
              <w:rPr>
                <w:b/>
              </w:rPr>
            </w:pPr>
            <w:r>
              <w:rPr>
                <w:rtl w:val="0"/>
              </w:rPr>
              <w:t>H411</w:t>
            </w:r>
          </w:p>
        </w:tc>
        <w:tc>
          <w:p w14:paraId="00000520">
            <w:r>
              <w:rPr>
                <w:rtl w:val="0"/>
              </w:rPr>
              <w:t>Aquatic Chronic 2</w:t>
            </w:r>
          </w:p>
        </w:tc>
        <w:tc>
          <w:p w14:paraId="00000521">
            <w:r>
              <w:rPr>
                <w:rtl w:val="0"/>
              </w:rPr>
              <w:t>Toxique pour les organismes aquatiques, entraîne des effets néfastes à long terme.</w:t>
            </w:r>
          </w:p>
        </w:tc>
      </w:tr>
      <w:tr w14:paraId="2415FD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22">
            <w:pPr>
              <w:rPr>
                <w:b/>
              </w:rPr>
            </w:pPr>
            <w:r>
              <w:rPr>
                <w:rtl w:val="0"/>
              </w:rPr>
              <w:t>H412</w:t>
            </w:r>
          </w:p>
        </w:tc>
        <w:tc>
          <w:p w14:paraId="00000523">
            <w:r>
              <w:rPr>
                <w:rtl w:val="0"/>
              </w:rPr>
              <w:t>Aquatic Chronic 3</w:t>
            </w:r>
          </w:p>
        </w:tc>
        <w:tc>
          <w:p w14:paraId="00000524">
            <w:r>
              <w:rPr>
                <w:rtl w:val="0"/>
              </w:rPr>
              <w:t>Nocif pour les organismes aquatiques, entraîne des effets néfastes à long terme</w:t>
            </w:r>
          </w:p>
        </w:tc>
      </w:tr>
    </w:tbl>
    <w:p w14:paraId="00000525"/>
    <w:tbl>
      <w:tblPr>
        <w:tblStyle w:val="196"/>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1F00AA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526"/>
        </w:tc>
        <w:tc>
          <w:p w14:paraId="00000527">
            <w:pPr>
              <w:pStyle w:val="3"/>
              <w:spacing w:after="0" w:line="240" w:lineRule="auto"/>
              <w:rPr>
                <w:sz w:val="28"/>
                <w:szCs w:val="28"/>
              </w:rPr>
            </w:pPr>
            <w:r>
              <w:rPr>
                <w:rtl w:val="0"/>
              </w:rPr>
              <w:t>16.6</w:t>
            </w:r>
          </w:p>
        </w:tc>
        <w:tc>
          <w:p w14:paraId="00000528">
            <w:pPr>
              <w:pStyle w:val="3"/>
              <w:spacing w:after="0" w:line="240" w:lineRule="auto"/>
            </w:pPr>
            <w:r>
              <w:rPr>
                <w:rtl w:val="0"/>
              </w:rPr>
              <w:t>Conseils de formation</w:t>
            </w:r>
          </w:p>
        </w:tc>
      </w:tr>
      <w:tr w14:paraId="313421F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29"/>
        </w:tc>
        <w:tc>
          <w:p w14:paraId="0000052A"/>
        </w:tc>
        <w:tc>
          <w:p w14:paraId="0000052B">
            <w:r>
              <w:rPr>
                <w:sz w:val="12"/>
                <w:szCs w:val="12"/>
              </w:rPr>
              <w:drawing>
                <wp:inline distT="0" distB="0" distL="0" distR="0">
                  <wp:extent cx="405765" cy="37465"/>
                  <wp:effectExtent l="0" t="0" r="0" b="0"/>
                  <wp:docPr id="97" name="image1.jpg"/>
                  <wp:cNvGraphicFramePr/>
                  <a:graphic xmlns:a="http://schemas.openxmlformats.org/drawingml/2006/main">
                    <a:graphicData uri="http://schemas.openxmlformats.org/drawingml/2006/picture">
                      <pic:pic xmlns:pic="http://schemas.openxmlformats.org/drawingml/2006/picture">
                        <pic:nvPicPr>
                          <pic:cNvPr id="97"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52C">
      <w:r>
        <w:rPr>
          <w:rtl w:val="0"/>
        </w:rPr>
        <w:t>Reportez-vous aux sections 4, 5, 6, 7 et 8 de cette fiche de données de sécurité.</w:t>
      </w:r>
    </w:p>
    <w:tbl>
      <w:tblPr>
        <w:tblStyle w:val="197"/>
        <w:tblW w:w="11169"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0"/>
        <w:gridCol w:w="624"/>
        <w:gridCol w:w="10035"/>
      </w:tblGrid>
      <w:tr w14:paraId="00DDAE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54" w:hRule="atLeast"/>
        </w:trPr>
        <w:tc>
          <w:p w14:paraId="0000052D"/>
        </w:tc>
        <w:tc>
          <w:p w14:paraId="0000052E">
            <w:pPr>
              <w:pStyle w:val="3"/>
              <w:spacing w:after="0" w:line="240" w:lineRule="auto"/>
              <w:rPr>
                <w:sz w:val="28"/>
                <w:szCs w:val="28"/>
              </w:rPr>
            </w:pPr>
            <w:r>
              <w:rPr>
                <w:rtl w:val="0"/>
              </w:rPr>
              <w:t>16.7</w:t>
            </w:r>
          </w:p>
        </w:tc>
        <w:tc>
          <w:p w14:paraId="0000052F">
            <w:pPr>
              <w:pStyle w:val="3"/>
              <w:spacing w:after="0" w:line="240" w:lineRule="auto"/>
            </w:pPr>
            <w:r>
              <w:rPr>
                <w:rtl w:val="0"/>
              </w:rPr>
              <w:t>Informations complémentaires</w:t>
            </w:r>
          </w:p>
        </w:tc>
      </w:tr>
      <w:tr w14:paraId="58FB64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c>
          <w:p w14:paraId="00000530"/>
        </w:tc>
        <w:tc>
          <w:p w14:paraId="00000531"/>
        </w:tc>
        <w:tc>
          <w:p w14:paraId="00000532">
            <w:r>
              <w:rPr>
                <w:sz w:val="12"/>
                <w:szCs w:val="12"/>
              </w:rPr>
              <w:drawing>
                <wp:inline distT="0" distB="0" distL="0" distR="0">
                  <wp:extent cx="405765" cy="37465"/>
                  <wp:effectExtent l="0" t="0" r="0" b="0"/>
                  <wp:docPr id="98" name="image1.jpg"/>
                  <wp:cNvGraphicFramePr/>
                  <a:graphic xmlns:a="http://schemas.openxmlformats.org/drawingml/2006/main">
                    <a:graphicData uri="http://schemas.openxmlformats.org/drawingml/2006/picture">
                      <pic:pic xmlns:pic="http://schemas.openxmlformats.org/drawingml/2006/picture">
                        <pic:nvPicPr>
                          <pic:cNvPr id="98" name="image1.jpg"/>
                          <pic:cNvPicPr preferRelativeResize="0"/>
                        </pic:nvPicPr>
                        <pic:blipFill>
                          <a:blip r:embed="rId13"/>
                          <a:srcRect/>
                          <a:stretch>
                            <a:fillRect/>
                          </a:stretch>
                        </pic:blipFill>
                        <pic:spPr>
                          <a:xfrm>
                            <a:off x="0" y="0"/>
                            <a:ext cx="406346" cy="38094"/>
                          </a:xfrm>
                          <a:prstGeom prst="rect">
                            <a:avLst/>
                          </a:prstGeom>
                        </pic:spPr>
                      </pic:pic>
                    </a:graphicData>
                  </a:graphic>
                </wp:inline>
              </w:drawing>
            </w:r>
          </w:p>
        </w:tc>
      </w:tr>
    </w:tbl>
    <w:p w14:paraId="00000533">
      <w:r>
        <w:rPr>
          <w:rtl w:val="0"/>
        </w:rPr>
        <w:t>Date de création : 14/02/2025</w:t>
      </w:r>
    </w:p>
    <w:p w14:paraId="00000534">
      <w:r>
        <w:rPr>
          <w:rtl w:val="0"/>
        </w:rPr>
        <w:t>Date de version : 14/02/2025</w:t>
      </w:r>
    </w:p>
    <w:p w14:paraId="00000535">
      <w:r>
        <w:rPr>
          <w:rtl w:val="0"/>
        </w:rPr>
        <w:t>Date d'impression : 14/02/2025</w:t>
      </w:r>
    </w:p>
    <w:p w14:paraId="00000536"/>
    <w:tbl>
      <w:tblPr>
        <w:tblStyle w:val="198"/>
        <w:tblW w:w="100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5"/>
      </w:tblGrid>
      <w:tr w14:paraId="02417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p w14:paraId="00000537">
            <w:r>
              <w:rPr>
                <w:rtl w:val="0"/>
              </w:rPr>
              <w:t>Les informations contenues dans cette Fiche de Données de Sécurité sont basées sur notre connaissance actuelle et sur les réglementations nationales et européennes.Cette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0000538"/>
    <w:sectPr>
      <w:headerReference r:id="rId11" w:type="default"/>
      <w:pgSz w:w="11906" w:h="16838"/>
      <w:pgMar w:top="1418" w:right="851" w:bottom="567" w:left="1134"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Cambria">
    <w:altName w:val="苹方-简"/>
    <w:panose1 w:val="00000000000000000000"/>
    <w:charset w:val="00"/>
    <w:family w:val="auto"/>
    <w:pitch w:val="default"/>
    <w:sig w:usb0="00000000" w:usb1="00000000" w:usb2="00000000" w:usb3="00000000" w:csb0="00000000" w:csb1="00000000"/>
  </w:font>
  <w:font w:name="Consolas">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Verdana">
    <w:panose1 w:val="020B0804030504040204"/>
    <w:charset w:val="00"/>
    <w:family w:val="auto"/>
    <w:pitch w:val="default"/>
    <w:sig w:usb0="A10006FF" w:usb1="4000205B" w:usb2="00000010" w:usb3="00000000" w:csb0="2000019F" w:csb1="00000000"/>
  </w:font>
  <w:font w:name="Calibri (Corps)">
    <w:altName w:val="苹方-简"/>
    <w:panose1 w:val="00000000000000000000"/>
    <w:charset w:val="00"/>
    <w:family w:val="auto"/>
    <w:pitch w:val="default"/>
    <w:sig w:usb0="00000000" w:usb1="00000000" w:usb2="00000000" w:usb3="00000000" w:csb0="00000000" w:csb1="00000000"/>
  </w:font>
  <w:font w:name="Georgia">
    <w:panose1 w:val="02040502050405090303"/>
    <w:charset w:val="00"/>
    <w:family w:val="auto"/>
    <w:pitch w:val="default"/>
    <w:sig w:usb0="00000287" w:usb1="00000000" w:usb2="00000000" w:usb3="00000000" w:csb0="2000009F"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5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tbl>
    <w:tblPr>
      <w:tblStyle w:val="201"/>
      <w:tblW w:w="11906"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5953"/>
      <w:gridCol w:w="5953"/>
    </w:tblGrid>
    <w:tr w14:paraId="25EDD6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567" w:hRule="atLeast"/>
      </w:trPr>
      <w:tc>
        <w:tcPr>
          <w:shd w:val="clear" w:color="auto" w:fill="D9D9D9"/>
          <w:vAlign w:val="center"/>
        </w:tcPr>
        <w:p w14:paraId="0000055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113" w:right="113" w:firstLine="0"/>
            <w:jc w:val="left"/>
            <w:rPr>
              <w:rFonts w:ascii="Calibri" w:hAnsi="Calibri" w:eastAsia="Calibri" w:cs="Calibri"/>
              <w:b w:val="0"/>
              <w:i w:val="0"/>
              <w:smallCaps w:val="0"/>
              <w:strike w:val="0"/>
              <w:color w:val="000000"/>
              <w:sz w:val="18"/>
              <w:szCs w:val="18"/>
              <w:u w:val="none"/>
              <w:shd w:val="clear" w:fill="auto"/>
              <w:vertAlign w:val="baseline"/>
            </w:rPr>
          </w:pPr>
        </w:p>
      </w:tc>
      <w:tc>
        <w:tcPr>
          <w:shd w:val="clear" w:color="auto" w:fill="D9D9D9"/>
          <w:vAlign w:val="center"/>
        </w:tcPr>
        <w:p w14:paraId="0000055D">
          <w:pPr>
            <w:ind w:left="113" w:right="113" w:firstLine="0"/>
            <w:jc w:val="right"/>
            <w:rPr>
              <w:color w:val="FFFFFF"/>
              <w:sz w:val="18"/>
              <w:szCs w:val="18"/>
            </w:rPr>
          </w:pPr>
          <w:r>
            <w:rPr>
              <w:color w:val="FFFFFF"/>
              <w:sz w:val="18"/>
              <w:szCs w:val="18"/>
              <w:shd w:val="clear" w:fill="D9D9D9"/>
            </w:rPr>
            <w:fldChar w:fldCharType="begin"/>
          </w:r>
          <w:r>
            <w:rPr>
              <w:color w:val="FFFFFF"/>
              <w:sz w:val="18"/>
              <w:szCs w:val="18"/>
              <w:shd w:val="clear" w:fill="D9D9D9"/>
            </w:rPr>
            <w:instrText xml:space="preserve">PAGE</w:instrText>
          </w:r>
          <w:r>
            <w:rPr>
              <w:color w:val="FFFFFF"/>
              <w:sz w:val="18"/>
              <w:szCs w:val="18"/>
              <w:shd w:val="clear" w:fill="D9D9D9"/>
            </w:rPr>
            <w:fldChar w:fldCharType="separate"/>
          </w:r>
          <w:r>
            <w:rPr>
              <w:color w:val="FFFFFF"/>
              <w:sz w:val="18"/>
              <w:szCs w:val="18"/>
              <w:shd w:val="clear" w:fill="D9D9D9"/>
            </w:rPr>
            <w:fldChar w:fldCharType="end"/>
          </w:r>
          <w:r>
            <w:rPr>
              <w:color w:val="FFFFFF"/>
              <w:sz w:val="18"/>
              <w:szCs w:val="18"/>
              <w:rtl w:val="0"/>
            </w:rPr>
            <w:t>/</w:t>
          </w:r>
          <w:r>
            <w:rPr>
              <w:color w:val="FFFFFF"/>
              <w:sz w:val="18"/>
              <w:szCs w:val="18"/>
            </w:rPr>
            <w:fldChar w:fldCharType="begin"/>
          </w:r>
          <w:r>
            <w:rPr>
              <w:color w:val="FFFFFF"/>
              <w:sz w:val="18"/>
              <w:szCs w:val="18"/>
            </w:rPr>
            <w:instrText xml:space="preserve">NUMPAGES</w:instrText>
          </w:r>
          <w:r>
            <w:rPr>
              <w:color w:val="FFFFFF"/>
              <w:sz w:val="18"/>
              <w:szCs w:val="18"/>
            </w:rPr>
            <w:fldChar w:fldCharType="separate"/>
          </w:r>
          <w:r>
            <w:rPr>
              <w:color w:val="FFFFFF"/>
              <w:sz w:val="18"/>
              <w:szCs w:val="18"/>
            </w:rPr>
            <w:fldChar w:fldCharType="end"/>
          </w:r>
        </w:p>
      </w:tc>
    </w:tr>
  </w:tbl>
  <w:p w14:paraId="000005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5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5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3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C2F2A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14:paraId="15C2F2AB">
                    <w:pPr>
                      <w:pStyle w:val="16"/>
                    </w:pPr>
                    <w:r>
                      <w:fldChar w:fldCharType="begin"/>
                    </w:r>
                    <w:r>
                      <w:instrText xml:space="preserve"> PAGE  \* MERGEFORMAT </w:instrText>
                    </w:r>
                    <w:r>
                      <w:fldChar w:fldCharType="separate"/>
                    </w:r>
                    <w:r>
                      <w:t>1</w:t>
                    </w:r>
                    <w:r>
                      <w:fldChar w:fldCharType="end"/>
                    </w:r>
                  </w:p>
                </w:txbxContent>
              </v:textbox>
            </v:shape>
          </w:pict>
        </mc:Fallback>
      </mc:AlternateContent>
    </w:r>
  </w:p>
  <w:tbl>
    <w:tblPr>
      <w:tblStyle w:val="199"/>
      <w:tblW w:w="11905"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5839"/>
      <w:gridCol w:w="567"/>
      <w:gridCol w:w="4989"/>
      <w:gridCol w:w="283"/>
    </w:tblGrid>
    <w:tr w14:paraId="31BB9DB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402" w:hRule="atLeast"/>
      </w:trPr>
      <w:tc>
        <w:tcPr>
          <w:shd w:val="clear" w:color="auto" w:fill="FFFFFF"/>
        </w:tcPr>
        <w:p w14:paraId="000005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p w14:paraId="0000053C"/>
        <w:p w14:paraId="0000053D"/>
        <w:p w14:paraId="0000053E"/>
        <w:p w14:paraId="0000053F"/>
        <w:p w14:paraId="00000540"/>
        <w:p w14:paraId="00000541"/>
        <w:p w14:paraId="00000542">
          <w:pPr>
            <w:rPr>
              <w:rFonts w:ascii="Calibri" w:hAnsi="Calibri" w:eastAsia="Calibri" w:cs="Calibri"/>
              <w:color w:val="000000"/>
              <w:sz w:val="2"/>
              <w:szCs w:val="2"/>
            </w:rPr>
          </w:pPr>
        </w:p>
        <w:p w14:paraId="00000543">
          <w:pPr>
            <w:rPr>
              <w:rFonts w:ascii="Calibri" w:hAnsi="Calibri" w:eastAsia="Calibri" w:cs="Calibri"/>
              <w:color w:val="000000"/>
              <w:sz w:val="2"/>
              <w:szCs w:val="2"/>
            </w:rPr>
          </w:pPr>
        </w:p>
        <w:p w14:paraId="00000544"/>
      </w:tc>
      <w:tc>
        <w:tcPr>
          <w:shd w:val="clear" w:color="auto" w:fill="auto"/>
          <w:vAlign w:val="center"/>
        </w:tcPr>
        <w:p w14:paraId="0000054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center"/>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auto"/>
          <w:vAlign w:val="center"/>
        </w:tcPr>
        <w:p w14:paraId="0000054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val="0"/>
              <w:i w:val="0"/>
              <w:smallCaps w:val="0"/>
              <w:strike w:val="0"/>
              <w:color w:val="FFFFFF"/>
              <w:sz w:val="20"/>
              <w:szCs w:val="20"/>
              <w:u w:val="none"/>
              <w:shd w:val="clear" w:fill="auto"/>
              <w:vertAlign w:val="baseline"/>
            </w:rPr>
          </w:pPr>
        </w:p>
      </w:tc>
      <w:tc>
        <w:tcPr>
          <w:shd w:val="clear" w:color="auto" w:fill="auto"/>
          <w:vAlign w:val="center"/>
        </w:tcPr>
        <w:p w14:paraId="0000054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i w:val="0"/>
              <w:smallCaps w:val="0"/>
              <w:strike w:val="0"/>
              <w:color w:val="000000"/>
              <w:sz w:val="32"/>
              <w:szCs w:val="32"/>
              <w:u w:val="none"/>
              <w:shd w:val="clear" w:fill="auto"/>
              <w:vertAlign w:val="baseline"/>
            </w:rPr>
          </w:pPr>
          <w:r>
            <w:rPr>
              <w:rFonts w:hint="default" w:cs="Calibri"/>
              <w:b/>
              <w:i w:val="0"/>
              <w:smallCaps w:val="0"/>
              <w:strike w:val="0"/>
              <w:color w:val="000000"/>
              <w:sz w:val="32"/>
              <w:szCs w:val="32"/>
              <w:u w:val="none"/>
              <w:shd w:val="clear" w:fill="auto"/>
              <w:vertAlign w:val="baseline"/>
              <w:rtl w:val="0"/>
              <w:lang w:val="fr-FR"/>
            </w:rPr>
            <w:t>Lady Glitter</w:t>
          </w:r>
          <w:r>
            <w:rPr>
              <w:rFonts w:ascii="Calibri" w:hAnsi="Calibri" w:eastAsia="Calibri" w:cs="Calibri"/>
              <w:b/>
              <w:i w:val="0"/>
              <w:smallCaps w:val="0"/>
              <w:strike w:val="0"/>
              <w:color w:val="000000"/>
              <w:sz w:val="32"/>
              <w:szCs w:val="32"/>
              <w:u w:val="none"/>
              <w:shd w:val="clear" w:fill="auto"/>
              <w:vertAlign w:val="baseline"/>
              <w:rtl w:val="0"/>
            </w:rPr>
            <w:t xml:space="preserve"> (FDS_10%)</w:t>
          </w:r>
        </w:p>
        <w:p w14:paraId="0000054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val="0"/>
              <w:i w:val="0"/>
              <w:smallCaps w:val="0"/>
              <w:strike w:val="0"/>
              <w:color w:val="FFFFFF"/>
              <w:sz w:val="16"/>
              <w:szCs w:val="16"/>
              <w:u w:val="none"/>
              <w:shd w:val="clear" w:fill="auto"/>
              <w:vertAlign w:val="baseline"/>
            </w:rPr>
          </w:pPr>
          <w:r>
            <w:rPr>
              <w:rFonts w:ascii="Calibri" w:hAnsi="Calibri" w:eastAsia="Calibri" w:cs="Calibri"/>
              <w:b w:val="0"/>
              <w:i w:val="0"/>
              <w:smallCaps w:val="0"/>
              <w:strike w:val="0"/>
              <w:color w:val="FFFFFF"/>
              <w:sz w:val="16"/>
              <w:szCs w:val="16"/>
              <w:u w:val="none"/>
              <w:shd w:val="clear" w:fill="auto"/>
              <w:vertAlign w:val="baseline"/>
            </w:rPr>
            <w:drawing>
              <wp:inline distT="0" distB="0" distL="0" distR="0">
                <wp:extent cx="305435" cy="28575"/>
                <wp:effectExtent l="0" t="0" r="0" b="0"/>
                <wp:docPr id="90" name="image1.jpg"/>
                <wp:cNvGraphicFramePr/>
                <a:graphic xmlns:a="http://schemas.openxmlformats.org/drawingml/2006/main">
                  <a:graphicData uri="http://schemas.openxmlformats.org/drawingml/2006/picture">
                    <pic:pic xmlns:pic="http://schemas.openxmlformats.org/drawingml/2006/picture">
                      <pic:nvPicPr>
                        <pic:cNvPr id="90" name="image1.jpg"/>
                        <pic:cNvPicPr preferRelativeResize="0"/>
                      </pic:nvPicPr>
                      <pic:blipFill>
                        <a:blip r:embed="rId1"/>
                        <a:srcRect/>
                        <a:stretch>
                          <a:fillRect/>
                        </a:stretch>
                      </pic:blipFill>
                      <pic:spPr>
                        <a:xfrm>
                          <a:off x="0" y="0"/>
                          <a:ext cx="306000" cy="28687"/>
                        </a:xfrm>
                        <a:prstGeom prst="rect">
                          <a:avLst/>
                        </a:prstGeom>
                      </pic:spPr>
                    </pic:pic>
                  </a:graphicData>
                </a:graphic>
              </wp:inline>
            </w:drawing>
          </w:r>
        </w:p>
        <w:p w14:paraId="0000054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r>
            <w:rPr>
              <w:rFonts w:ascii="Calibri" w:hAnsi="Calibri" w:eastAsia="Calibri" w:cs="Calibri"/>
              <w:b/>
              <w:i w:val="0"/>
              <w:smallCaps w:val="0"/>
              <w:strike w:val="0"/>
              <w:color w:val="000000"/>
              <w:sz w:val="20"/>
              <w:szCs w:val="20"/>
              <w:u w:val="none"/>
              <w:shd w:val="clear" w:fill="auto"/>
              <w:vertAlign w:val="baseline"/>
              <w:rtl w:val="0"/>
            </w:rPr>
            <w:t>Version: 1</w:t>
          </w:r>
        </w:p>
        <w:p w14:paraId="0000054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r>
            <w:rPr>
              <w:rFonts w:ascii="Calibri" w:hAnsi="Calibri" w:eastAsia="Calibri" w:cs="Calibri"/>
              <w:b/>
              <w:i w:val="0"/>
              <w:smallCaps w:val="0"/>
              <w:strike w:val="0"/>
              <w:color w:val="000000"/>
              <w:sz w:val="20"/>
              <w:szCs w:val="20"/>
              <w:u w:val="none"/>
              <w:shd w:val="clear" w:fill="auto"/>
              <w:vertAlign w:val="baseline"/>
              <w:rtl w:val="0"/>
            </w:rPr>
            <w:t>Date de version: 14/02/2025</w:t>
          </w:r>
        </w:p>
        <w:p w14:paraId="0000054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i w:val="0"/>
              <w:smallCaps w:val="0"/>
              <w:strike w:val="0"/>
              <w:color w:val="000000"/>
              <w:sz w:val="20"/>
              <w:szCs w:val="20"/>
              <w:u w:val="none"/>
              <w:shd w:val="clear" w:fill="auto"/>
              <w:vertAlign w:val="baseline"/>
            </w:rPr>
          </w:pPr>
          <w:r>
            <w:rPr>
              <w:rFonts w:ascii="Calibri" w:hAnsi="Calibri" w:eastAsia="Calibri" w:cs="Calibri"/>
              <w:b/>
              <w:i w:val="0"/>
              <w:smallCaps w:val="0"/>
              <w:strike w:val="0"/>
              <w:color w:val="000000"/>
              <w:sz w:val="20"/>
              <w:szCs w:val="20"/>
              <w:u w:val="none"/>
              <w:shd w:val="clear" w:fill="auto"/>
              <w:vertAlign w:val="baseline"/>
              <w:rtl w:val="0"/>
            </w:rPr>
            <w:t>Langue: FR</w:t>
          </w:r>
        </w:p>
        <w:p w14:paraId="000005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FFFFFF"/>
              <w:sz w:val="20"/>
              <w:szCs w:val="20"/>
              <w:u w:val="none"/>
              <w:shd w:val="clear" w:fill="auto"/>
              <w:vertAlign w:val="baseline"/>
            </w:rPr>
          </w:pPr>
          <w:r>
            <w:rPr>
              <w:rFonts w:ascii="Calibri" w:hAnsi="Calibri" w:eastAsia="Calibri" w:cs="Calibri"/>
              <w:b w:val="0"/>
              <w:i w:val="0"/>
              <w:smallCaps w:val="0"/>
              <w:strike w:val="0"/>
              <w:color w:val="000000"/>
              <w:sz w:val="16"/>
              <w:szCs w:val="16"/>
              <w:u w:val="none"/>
              <w:shd w:val="clear" w:fill="auto"/>
              <w:vertAlign w:val="baseline"/>
              <w:rtl w:val="0"/>
            </w:rPr>
            <w:t>Conformément au règlement (CE) n° 1907/2006 (modifié par le règlement (UE) n° 2020/878)</w:t>
          </w:r>
        </w:p>
      </w:tc>
      <w:tc>
        <w:tcPr>
          <w:shd w:val="clear" w:color="auto" w:fill="auto"/>
          <w:vAlign w:val="center"/>
        </w:tcPr>
        <w:p w14:paraId="0000054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120" w:after="120" w:line="240" w:lineRule="auto"/>
            <w:ind w:left="0" w:right="0" w:firstLine="0"/>
            <w:jc w:val="left"/>
            <w:rPr>
              <w:rFonts w:ascii="Calibri" w:hAnsi="Calibri" w:eastAsia="Calibri" w:cs="Calibri"/>
              <w:b w:val="0"/>
              <w:i w:val="0"/>
              <w:smallCaps w:val="0"/>
              <w:strike w:val="0"/>
              <w:color w:val="FFFFFF"/>
              <w:sz w:val="20"/>
              <w:szCs w:val="20"/>
              <w:u w:val="none"/>
              <w:shd w:val="clear" w:fill="auto"/>
              <w:vertAlign w:val="baseline"/>
            </w:rPr>
          </w:pPr>
        </w:p>
      </w:tc>
    </w:tr>
  </w:tbl>
  <w:p w14:paraId="0000054E">
    <w:pPr>
      <w:jc w:val="center"/>
      <w:rPr>
        <w:rFonts w:ascii="Calibri" w:hAnsi="Calibri" w:eastAsia="Calibri" w:cs="Calibri"/>
        <w:sz w:val="6"/>
        <w:szCs w:val="6"/>
      </w:rPr>
    </w:pPr>
    <w:r>
      <w:rPr>
        <w:rFonts w:ascii="Calibri" w:hAnsi="Calibri" w:eastAsia="Calibri" w:cs="Calibri"/>
        <w:color w:val="FFFFFF"/>
        <w:sz w:val="6"/>
        <w:szCs w:val="6"/>
        <w:rtl w:val="0"/>
      </w:rPr>
      <w:t>Powered by EcoMundo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3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4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55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Calibri" w:hAnsi="Calibri" w:eastAsia="Calibri" w:cs="Calibri"/>
        <w:b w:val="0"/>
        <w:i w:val="0"/>
        <w:smallCaps w:val="0"/>
        <w:strike w:val="0"/>
        <w:color w:val="000000"/>
        <w:sz w:val="20"/>
        <w:szCs w:val="20"/>
        <w:u w:val="none"/>
        <w:shd w:val="clear" w:fill="auto"/>
        <w:vertAlign w:val="baseline"/>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91D1EF">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7E91D1EF">
                    <w:pPr>
                      <w:pStyle w:val="16"/>
                    </w:pPr>
                    <w:r>
                      <w:fldChar w:fldCharType="begin"/>
                    </w:r>
                    <w:r>
                      <w:instrText xml:space="preserve"> PAGE  \* MERGEFORMAT </w:instrText>
                    </w:r>
                    <w:r>
                      <w:fldChar w:fldCharType="separate"/>
                    </w:r>
                    <w:r>
                      <w:t>2</w:t>
                    </w:r>
                    <w:r>
                      <w:fldChar w:fldCharType="end"/>
                    </w:r>
                  </w:p>
                </w:txbxContent>
              </v:textbox>
            </v:shape>
          </w:pict>
        </mc:Fallback>
      </mc:AlternateContent>
    </w:r>
  </w:p>
  <w:tbl>
    <w:tblPr>
      <w:tblStyle w:val="200"/>
      <w:tblW w:w="11905" w:type="dxa"/>
      <w:tblInd w:w="-113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7"/>
      <w:gridCol w:w="5839"/>
      <w:gridCol w:w="567"/>
      <w:gridCol w:w="4989"/>
      <w:gridCol w:w="283"/>
    </w:tblGrid>
    <w:tr w14:paraId="32BF0D6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417" w:hRule="atLeast"/>
      </w:trPr>
      <w:tc>
        <w:tcPr>
          <w:shd w:val="clear" w:color="auto" w:fill="FFFFFF"/>
        </w:tcPr>
        <w:p w14:paraId="0000055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ascii="Calibri" w:hAnsi="Calibri" w:eastAsia="Calibri" w:cs="Calibri"/>
              <w:b w:val="0"/>
              <w:i w:val="0"/>
              <w:smallCaps w:val="0"/>
              <w:strike w:val="0"/>
              <w:color w:val="000000"/>
              <w:sz w:val="2"/>
              <w:szCs w:val="2"/>
              <w:u w:val="none"/>
              <w:shd w:val="clear" w:fill="auto"/>
              <w:vertAlign w:val="baseline"/>
            </w:rPr>
          </w:pPr>
        </w:p>
        <w:p w14:paraId="00000552"/>
        <w:p w14:paraId="00000553"/>
        <w:p w14:paraId="00000554"/>
      </w:tc>
      <w:tc>
        <w:tcPr>
          <w:shd w:val="clear" w:color="auto" w:fill="auto"/>
          <w:vAlign w:val="center"/>
        </w:tcPr>
        <w:p w14:paraId="000005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FFFFFF"/>
            <w:spacing w:before="0" w:after="0" w:line="240" w:lineRule="auto"/>
            <w:ind w:left="0" w:right="0" w:firstLine="0"/>
            <w:jc w:val="center"/>
            <w:rPr>
              <w:rFonts w:ascii="Calibri" w:hAnsi="Calibri" w:eastAsia="Calibri" w:cs="Calibri"/>
              <w:b w:val="0"/>
              <w:i w:val="0"/>
              <w:smallCaps w:val="0"/>
              <w:strike w:val="0"/>
              <w:color w:val="000000"/>
              <w:sz w:val="20"/>
              <w:szCs w:val="20"/>
              <w:u w:val="none"/>
              <w:shd w:val="clear" w:fill="auto"/>
              <w:vertAlign w:val="baseline"/>
            </w:rPr>
          </w:pPr>
        </w:p>
      </w:tc>
      <w:tc>
        <w:tcPr>
          <w:shd w:val="clear" w:color="auto" w:fill="FFFFFF"/>
          <w:vAlign w:val="center"/>
        </w:tcPr>
        <w:p w14:paraId="000005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567" w:right="0" w:firstLine="0"/>
            <w:jc w:val="left"/>
            <w:rPr>
              <w:rFonts w:ascii="Calibri" w:hAnsi="Calibri" w:eastAsia="Calibri" w:cs="Calibri"/>
              <w:b w:val="0"/>
              <w:i w:val="0"/>
              <w:smallCaps w:val="0"/>
              <w:strike w:val="0"/>
              <w:color w:val="FFFFFF"/>
              <w:sz w:val="16"/>
              <w:szCs w:val="16"/>
              <w:u w:val="none"/>
              <w:shd w:val="clear" w:fill="auto"/>
              <w:vertAlign w:val="baseline"/>
            </w:rPr>
          </w:pPr>
        </w:p>
      </w:tc>
      <w:tc>
        <w:tcPr>
          <w:shd w:val="clear" w:color="auto" w:fill="FFFFFF"/>
          <w:vAlign w:val="center"/>
        </w:tcPr>
        <w:p w14:paraId="0000055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0" w:right="0" w:firstLine="0"/>
            <w:jc w:val="left"/>
            <w:rPr>
              <w:rFonts w:ascii="Calibri" w:hAnsi="Calibri" w:eastAsia="Calibri" w:cs="Calibri"/>
              <w:b w:val="0"/>
              <w:i w:val="0"/>
              <w:smallCaps w:val="0"/>
              <w:strike w:val="0"/>
              <w:color w:val="FFFFFF"/>
              <w:sz w:val="16"/>
              <w:szCs w:val="16"/>
              <w:u w:val="none"/>
              <w:shd w:val="clear" w:fill="auto"/>
              <w:vertAlign w:val="baseline"/>
            </w:rPr>
          </w:pPr>
          <w:r>
            <w:rPr>
              <w:rFonts w:hint="default" w:cs="Calibri"/>
              <w:b/>
              <w:i w:val="0"/>
              <w:smallCaps w:val="0"/>
              <w:strike w:val="0"/>
              <w:color w:val="000000"/>
              <w:sz w:val="32"/>
              <w:szCs w:val="32"/>
              <w:u w:val="none"/>
              <w:shd w:val="clear" w:fill="auto"/>
              <w:vertAlign w:val="baseline"/>
              <w:rtl w:val="0"/>
              <w:lang w:val="fr-FR"/>
            </w:rPr>
            <w:t>Lady Glitter</w:t>
          </w:r>
          <w:bookmarkStart w:id="0" w:name="_GoBack"/>
          <w:bookmarkEnd w:id="0"/>
          <w:r>
            <w:rPr>
              <w:rFonts w:ascii="Calibri" w:hAnsi="Calibri" w:eastAsia="Calibri" w:cs="Calibri"/>
              <w:b/>
              <w:i w:val="0"/>
              <w:smallCaps w:val="0"/>
              <w:strike w:val="0"/>
              <w:color w:val="000000"/>
              <w:sz w:val="32"/>
              <w:szCs w:val="32"/>
              <w:u w:val="none"/>
              <w:shd w:val="clear" w:fill="auto"/>
              <w:vertAlign w:val="baseline"/>
              <w:rtl w:val="0"/>
            </w:rPr>
            <w:t xml:space="preserve"> (FDS_10%)</w:t>
          </w:r>
        </w:p>
      </w:tc>
      <w:tc>
        <w:tcPr>
          <w:shd w:val="clear" w:color="auto" w:fill="FFFFFF"/>
          <w:vAlign w:val="center"/>
        </w:tcPr>
        <w:p w14:paraId="0000055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fill="auto"/>
            <w:tabs>
              <w:tab w:val="center" w:pos="4536"/>
              <w:tab w:val="right" w:pos="9072"/>
            </w:tabs>
            <w:spacing w:before="0" w:after="0" w:line="240" w:lineRule="auto"/>
            <w:ind w:left="567" w:right="0" w:firstLine="0"/>
            <w:jc w:val="left"/>
            <w:rPr>
              <w:rFonts w:ascii="Calibri" w:hAnsi="Calibri" w:eastAsia="Calibri" w:cs="Calibri"/>
              <w:b w:val="0"/>
              <w:i w:val="0"/>
              <w:smallCaps w:val="0"/>
              <w:strike w:val="0"/>
              <w:color w:val="FFFFFF"/>
              <w:sz w:val="16"/>
              <w:szCs w:val="16"/>
              <w:u w:val="none"/>
              <w:shd w:val="clear" w:fill="auto"/>
              <w:vertAlign w:val="baseline"/>
            </w:rPr>
          </w:pPr>
        </w:p>
      </w:tc>
    </w:tr>
  </w:tbl>
  <w:p w14:paraId="00000559">
    <w:pPr>
      <w:jc w:val="center"/>
    </w:pPr>
    <w:r>
      <w:rPr>
        <w:color w:val="FFFFFF"/>
        <w:sz w:val="8"/>
        <w:szCs w:val="8"/>
        <w:rtl w:val="0"/>
      </w:rPr>
      <w:t>Powered by EcoMundo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EDB7C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name="annotation reference"/>
    <w:lsdException w:unhideWhenUsed="0" w:uiPriority="0" w:semiHidden="0" w:name="line number"/>
    <w:lsdException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iPriority="99"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iPriority="99"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Calibri" w:cs="Calibri"/>
      <w:color w:val="000000" w:themeColor="text1"/>
      <w:sz w:val="20"/>
      <w:lang w:val="en-US"/>
      <w14:textFill>
        <w14:solidFill>
          <w14:schemeClr w14:val="tx1"/>
        </w14:solidFill>
      </w14:textFill>
    </w:rPr>
  </w:style>
  <w:style w:type="paragraph" w:styleId="2">
    <w:name w:val="heading 1"/>
    <w:next w:val="1"/>
    <w:link w:val="24"/>
    <w:qFormat/>
    <w:uiPriority w:val="9"/>
    <w:pPr>
      <w:keepNext/>
      <w:keepLines/>
      <w:spacing w:before="120" w:after="120"/>
      <w:outlineLvl w:val="0"/>
    </w:pPr>
    <w:rPr>
      <w:rFonts w:ascii="Calibri" w:hAnsi="Calibri" w:eastAsiaTheme="majorEastAsia" w:cstheme="majorBidi"/>
      <w:b/>
      <w:sz w:val="28"/>
      <w:szCs w:val="28"/>
      <w:lang w:val="en-US"/>
    </w:rPr>
  </w:style>
  <w:style w:type="paragraph" w:styleId="3">
    <w:name w:val="heading 2"/>
    <w:next w:val="1"/>
    <w:link w:val="25"/>
    <w:unhideWhenUsed/>
    <w:qFormat/>
    <w:uiPriority w:val="9"/>
    <w:pPr>
      <w:keepNext/>
      <w:keepLines/>
      <w:outlineLvl w:val="1"/>
    </w:pPr>
    <w:rPr>
      <w:rFonts w:ascii="Calibri" w:hAnsi="Calibri" w:eastAsiaTheme="majorEastAsia" w:cstheme="majorBidi"/>
      <w:b/>
      <w:sz w:val="24"/>
      <w:szCs w:val="26"/>
      <w:lang w:val="en-US"/>
    </w:rPr>
  </w:style>
  <w:style w:type="paragraph" w:styleId="4">
    <w:name w:val="heading 3"/>
    <w:next w:val="1"/>
    <w:link w:val="26"/>
    <w:unhideWhenUsed/>
    <w:qFormat/>
    <w:uiPriority w:val="9"/>
    <w:pPr>
      <w:outlineLvl w:val="2"/>
    </w:pPr>
    <w:rPr>
      <w:rFonts w:ascii="Calibri" w:hAnsi="Calibri" w:eastAsia="Calibri" w:cs="Calibri"/>
      <w:b/>
      <w:sz w:val="22"/>
      <w:lang w:val="en-US"/>
    </w:rPr>
  </w:style>
  <w:style w:type="paragraph" w:styleId="5">
    <w:name w:val="heading 4"/>
    <w:next w:val="1"/>
    <w:link w:val="47"/>
    <w:unhideWhenUsed/>
    <w:qFormat/>
    <w:uiPriority w:val="9"/>
    <w:pPr>
      <w:outlineLvl w:val="3"/>
    </w:pPr>
    <w:rPr>
      <w:rFonts w:ascii="Calibri" w:hAnsi="Calibri" w:eastAsia="Calibri" w:cs="Calibri"/>
      <w:b/>
      <w:lang w:val="en-US"/>
    </w:rPr>
  </w:style>
  <w:style w:type="paragraph" w:styleId="6">
    <w:name w:val="heading 5"/>
    <w:next w:val="1"/>
    <w:link w:val="48"/>
    <w:semiHidden/>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200"/>
      <w:outlineLvl w:val="4"/>
    </w:pPr>
    <w:rPr>
      <w:rFonts w:asciiTheme="majorHAnsi" w:hAnsiTheme="majorHAnsi" w:eastAsiaTheme="majorEastAsia" w:cstheme="majorBidi"/>
      <w:color w:val="254061" w:themeColor="accent1" w:themeShade="80"/>
      <w:sz w:val="18"/>
      <w:szCs w:val="18"/>
      <w:lang w:val="en-US" w:eastAsia="fr-FR"/>
    </w:rPr>
  </w:style>
  <w:style w:type="paragraph" w:styleId="7">
    <w:name w:val="heading 6"/>
    <w:next w:val="1"/>
    <w:link w:val="49"/>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lang w:val="en-US" w:eastAsia="fr-FR"/>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alloon Text"/>
    <w:basedOn w:val="1"/>
    <w:link w:val="50"/>
    <w:semiHidden/>
    <w:unhideWhenUsed/>
    <w:qFormat/>
    <w:uiPriority w:val="99"/>
    <w:pPr>
      <w:pBdr>
        <w:top w:val="none" w:color="auto" w:sz="0" w:space="0"/>
        <w:left w:val="none" w:color="auto" w:sz="0" w:space="0"/>
        <w:bottom w:val="none" w:color="auto" w:sz="0" w:space="0"/>
        <w:right w:val="none" w:color="auto" w:sz="0" w:space="0"/>
        <w:between w:val="none" w:color="auto" w:sz="0" w:space="0"/>
      </w:pBdr>
    </w:pPr>
    <w:rPr>
      <w:rFonts w:ascii="Tahoma" w:hAnsi="Tahoma" w:eastAsia="Calibri" w:cs="Tahoma"/>
      <w:color w:val="000000"/>
      <w:sz w:val="16"/>
      <w:szCs w:val="16"/>
      <w:lang w:eastAsia="fr-FR"/>
    </w:rPr>
  </w:style>
  <w:style w:type="character" w:styleId="11">
    <w:name w:val="annotation reference"/>
    <w:semiHidden/>
    <w:unhideWhenUsed/>
    <w:uiPriority w:val="99"/>
    <w:rPr>
      <w:sz w:val="16"/>
      <w:szCs w:val="16"/>
    </w:rPr>
  </w:style>
  <w:style w:type="paragraph" w:styleId="12">
    <w:name w:val="annotation text"/>
    <w:basedOn w:val="1"/>
    <w:link w:val="75"/>
    <w:semiHidden/>
    <w:unhideWhenUsed/>
    <w:uiPriority w:val="99"/>
    <w:pPr>
      <w:pBdr>
        <w:top w:val="none" w:color="auto" w:sz="0" w:space="0"/>
        <w:left w:val="none" w:color="auto" w:sz="0" w:space="0"/>
        <w:bottom w:val="none" w:color="auto" w:sz="0" w:space="0"/>
        <w:right w:val="none" w:color="auto" w:sz="0" w:space="0"/>
        <w:between w:val="none" w:color="auto" w:sz="0" w:space="0"/>
      </w:pBdr>
      <w:spacing w:after="80"/>
    </w:pPr>
    <w:rPr>
      <w:rFonts w:ascii="Calibri" w:hAnsi="Calibri" w:eastAsia="Calibri" w:cs="Calibri"/>
      <w:color w:val="000000"/>
      <w:szCs w:val="20"/>
      <w:lang w:eastAsia="fr-FR"/>
    </w:rPr>
  </w:style>
  <w:style w:type="paragraph" w:styleId="13">
    <w:name w:val="annotation subject"/>
    <w:basedOn w:val="12"/>
    <w:next w:val="12"/>
    <w:link w:val="79"/>
    <w:semiHidden/>
    <w:unhideWhenUsed/>
    <w:uiPriority w:val="99"/>
    <w:rPr>
      <w:b/>
      <w:bCs/>
    </w:rPr>
  </w:style>
  <w:style w:type="paragraph" w:styleId="14">
    <w:name w:val="Document Map"/>
    <w:basedOn w:val="1"/>
    <w:link w:val="73"/>
    <w:semiHidden/>
    <w:unhideWhenUsed/>
    <w:qFormat/>
    <w:uiPriority w:val="99"/>
    <w:pPr>
      <w:pBdr>
        <w:top w:val="none" w:color="auto" w:sz="0" w:space="0"/>
        <w:left w:val="none" w:color="auto" w:sz="0" w:space="0"/>
        <w:bottom w:val="none" w:color="auto" w:sz="0" w:space="0"/>
        <w:right w:val="none" w:color="auto" w:sz="0" w:space="0"/>
        <w:between w:val="none" w:color="auto" w:sz="0" w:space="0"/>
      </w:pBdr>
    </w:pPr>
    <w:rPr>
      <w:rFonts w:ascii="Tahoma" w:hAnsi="Tahoma" w:eastAsia="Calibri" w:cs="Tahoma"/>
      <w:color w:val="000000"/>
      <w:sz w:val="16"/>
      <w:szCs w:val="16"/>
      <w:lang w:eastAsia="fr-FR"/>
    </w:rPr>
  </w:style>
  <w:style w:type="paragraph" w:styleId="15">
    <w:name w:val="footer"/>
    <w:basedOn w:val="1"/>
    <w:link w:val="33"/>
    <w:unhideWhenUsed/>
    <w:qFormat/>
    <w:uiPriority w:val="99"/>
    <w:pPr>
      <w:tabs>
        <w:tab w:val="center" w:pos="4536"/>
        <w:tab w:val="right" w:pos="9072"/>
      </w:tabs>
    </w:pPr>
  </w:style>
  <w:style w:type="paragraph" w:styleId="16">
    <w:name w:val="header"/>
    <w:basedOn w:val="1"/>
    <w:link w:val="32"/>
    <w:unhideWhenUsed/>
    <w:qFormat/>
    <w:uiPriority w:val="99"/>
    <w:pPr>
      <w:tabs>
        <w:tab w:val="center" w:pos="4536"/>
        <w:tab w:val="right" w:pos="9072"/>
      </w:tabs>
    </w:pPr>
  </w:style>
  <w:style w:type="character" w:styleId="17">
    <w:name w:val="Hyperlink"/>
    <w:unhideWhenUsed/>
    <w:qFormat/>
    <w:uiPriority w:val="99"/>
    <w:rPr>
      <w:color w:val="0000FF" w:themeColor="hyperlink"/>
      <w:u w:val="single"/>
      <w14:textFill>
        <w14:solidFill>
          <w14:schemeClr w14:val="hlink"/>
        </w14:solidFill>
      </w14:textFill>
    </w:rPr>
  </w:style>
  <w:style w:type="paragraph" w:styleId="18">
    <w:name w:val="macro"/>
    <w:link w:val="46"/>
    <w:semiHidden/>
    <w:unhideWhenUsed/>
    <w:qFormat/>
    <w:uiPriority w:val="9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eastAsia="Calibri" w:cs="Calibri"/>
      <w:color w:val="1E4D74"/>
      <w:sz w:val="20"/>
      <w:szCs w:val="20"/>
      <w:lang w:val="en-US"/>
    </w:rPr>
  </w:style>
  <w:style w:type="character" w:styleId="19">
    <w:name w:val="page number"/>
    <w:basedOn w:val="8"/>
    <w:semiHidden/>
    <w:unhideWhenUsed/>
    <w:uiPriority w:val="99"/>
  </w:style>
  <w:style w:type="paragraph" w:styleId="20">
    <w:name w:val="Subtitle"/>
    <w:next w:val="1"/>
    <w:link w:val="85"/>
    <w:uiPriority w:val="0"/>
    <w:pPr>
      <w:keepNext/>
      <w:keepLines/>
      <w:pBdr>
        <w:top w:val="none" w:color="auto" w:sz="0" w:space="0"/>
        <w:left w:val="none" w:color="auto" w:sz="0" w:space="0"/>
        <w:bottom w:val="none" w:color="auto" w:sz="0" w:space="0"/>
        <w:right w:val="none" w:color="auto" w:sz="0" w:space="0"/>
        <w:between w:val="none" w:color="auto" w:sz="0" w:space="0"/>
      </w:pBdr>
      <w:spacing w:before="360" w:after="80"/>
    </w:pPr>
    <w:rPr>
      <w:rFonts w:ascii="Georgia" w:hAnsi="Georgia" w:eastAsia="Georgia" w:cs="Georgia"/>
      <w:i/>
      <w:color w:val="666666"/>
      <w:sz w:val="48"/>
      <w:szCs w:val="48"/>
      <w:lang w:val="en-US"/>
    </w:rPr>
  </w:style>
  <w:style w:type="table" w:styleId="21">
    <w:name w:val="Table Grid"/>
    <w:basedOn w:val="2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Table Normal11"/>
    <w:qFormat/>
    <w:uiPriority w:val="0"/>
  </w:style>
  <w:style w:type="paragraph" w:styleId="23">
    <w:name w:val="Title"/>
    <w:next w:val="1"/>
    <w:link w:val="27"/>
    <w:qFormat/>
    <w:uiPriority w:val="10"/>
    <w:pPr>
      <w:spacing w:before="240" w:after="240"/>
      <w:contextualSpacing/>
      <w:jc w:val="center"/>
    </w:pPr>
    <w:rPr>
      <w:rFonts w:ascii="Calibri" w:hAnsi="Calibri" w:eastAsiaTheme="majorEastAsia" w:cstheme="majorBidi"/>
      <w:b/>
      <w:spacing w:val="-10"/>
      <w:kern w:val="28"/>
      <w:sz w:val="44"/>
      <w:szCs w:val="56"/>
      <w:lang w:val="en-US"/>
    </w:rPr>
  </w:style>
  <w:style w:type="character" w:customStyle="1" w:styleId="24">
    <w:name w:val="Heading 1 Char"/>
    <w:basedOn w:val="8"/>
    <w:link w:val="2"/>
    <w:qFormat/>
    <w:uiPriority w:val="9"/>
    <w:rPr>
      <w:rFonts w:ascii="Calibri" w:hAnsi="Calibri" w:eastAsiaTheme="majorEastAsia" w:cstheme="majorBidi"/>
      <w:b/>
      <w:color w:val="000000" w:themeColor="text1"/>
      <w:sz w:val="28"/>
      <w:szCs w:val="28"/>
      <w14:textFill>
        <w14:solidFill>
          <w14:schemeClr w14:val="tx1"/>
        </w14:solidFill>
      </w14:textFill>
    </w:rPr>
  </w:style>
  <w:style w:type="character" w:customStyle="1" w:styleId="25">
    <w:name w:val="Heading 2 Char"/>
    <w:basedOn w:val="8"/>
    <w:link w:val="3"/>
    <w:qFormat/>
    <w:uiPriority w:val="9"/>
    <w:rPr>
      <w:rFonts w:ascii="Calibri" w:hAnsi="Calibri" w:eastAsiaTheme="majorEastAsia" w:cstheme="majorBidi"/>
      <w:b/>
      <w:color w:val="000000" w:themeColor="text1"/>
      <w:sz w:val="24"/>
      <w:szCs w:val="26"/>
      <w:lang w:val="en-US"/>
      <w14:textFill>
        <w14:solidFill>
          <w14:schemeClr w14:val="tx1"/>
        </w14:solidFill>
      </w14:textFill>
    </w:rPr>
  </w:style>
  <w:style w:type="character" w:customStyle="1" w:styleId="26">
    <w:name w:val="Heading 3 Char"/>
    <w:basedOn w:val="8"/>
    <w:link w:val="4"/>
    <w:qFormat/>
    <w:uiPriority w:val="9"/>
    <w:rPr>
      <w:b/>
      <w:color w:val="000000" w:themeColor="text1"/>
      <w14:textFill>
        <w14:solidFill>
          <w14:schemeClr w14:val="tx1"/>
        </w14:solidFill>
      </w14:textFill>
    </w:rPr>
  </w:style>
  <w:style w:type="character" w:customStyle="1" w:styleId="27">
    <w:name w:val="Title Char"/>
    <w:basedOn w:val="8"/>
    <w:link w:val="23"/>
    <w:qFormat/>
    <w:uiPriority w:val="10"/>
    <w:rPr>
      <w:rFonts w:ascii="Calibri" w:hAnsi="Calibri" w:eastAsiaTheme="majorEastAsia" w:cstheme="majorBidi"/>
      <w:b/>
      <w:color w:val="000000" w:themeColor="text1"/>
      <w:spacing w:val="-10"/>
      <w:kern w:val="28"/>
      <w:sz w:val="44"/>
      <w:szCs w:val="56"/>
      <w14:textFill>
        <w14:solidFill>
          <w14:schemeClr w14:val="tx1"/>
        </w14:solidFill>
      </w14:textFill>
    </w:rPr>
  </w:style>
  <w:style w:type="paragraph" w:customStyle="1" w:styleId="28">
    <w:name w:val="MacroHeader"/>
    <w:basedOn w:val="2"/>
    <w:next w:val="1"/>
    <w:link w:val="29"/>
    <w:qFormat/>
    <w:uiPriority w:val="0"/>
    <w:pPr>
      <w:spacing w:before="0" w:after="0"/>
    </w:pPr>
  </w:style>
  <w:style w:type="character" w:customStyle="1" w:styleId="29">
    <w:name w:val="MacroHeader Car"/>
    <w:basedOn w:val="8"/>
    <w:link w:val="28"/>
    <w:qFormat/>
    <w:uiPriority w:val="0"/>
    <w:rPr>
      <w:rFonts w:ascii="Calibri" w:hAnsi="Calibri" w:eastAsiaTheme="majorEastAsia" w:cstheme="majorBidi"/>
      <w:b/>
      <w:color w:val="000000" w:themeColor="text1"/>
      <w:sz w:val="28"/>
      <w:szCs w:val="28"/>
      <w14:textFill>
        <w14:solidFill>
          <w14:schemeClr w14:val="tx1"/>
        </w14:solidFill>
      </w14:textFill>
    </w:rPr>
  </w:style>
  <w:style w:type="paragraph" w:customStyle="1" w:styleId="30">
    <w:name w:val="Details"/>
    <w:basedOn w:val="1"/>
    <w:next w:val="1"/>
    <w:link w:val="31"/>
    <w:qFormat/>
    <w:uiPriority w:val="0"/>
    <w:pPr>
      <w:pBdr>
        <w:top w:val="none" w:color="auto" w:sz="0" w:space="0"/>
        <w:left w:val="none" w:color="auto" w:sz="0" w:space="0"/>
        <w:bottom w:val="none" w:color="auto" w:sz="0" w:space="0"/>
        <w:right w:val="none" w:color="auto" w:sz="0" w:space="0"/>
        <w:between w:val="none" w:color="auto" w:sz="0" w:space="0"/>
      </w:pBdr>
    </w:pPr>
    <w:rPr>
      <w:rFonts w:eastAsia="Calibri" w:cs="Calibri"/>
      <w:color w:val="000000"/>
      <w:szCs w:val="18"/>
      <w:lang w:eastAsia="fr-FR"/>
    </w:rPr>
  </w:style>
  <w:style w:type="character" w:customStyle="1" w:styleId="31">
    <w:name w:val="Details Car"/>
    <w:basedOn w:val="8"/>
    <w:link w:val="30"/>
    <w:uiPriority w:val="0"/>
    <w:rPr>
      <w:rFonts w:eastAsia="Calibri" w:cs="Calibri"/>
      <w:color w:val="000000"/>
      <w:sz w:val="20"/>
      <w:szCs w:val="18"/>
      <w:lang w:eastAsia="fr-FR"/>
    </w:rPr>
  </w:style>
  <w:style w:type="character" w:customStyle="1" w:styleId="32">
    <w:name w:val="Header Char"/>
    <w:basedOn w:val="8"/>
    <w:link w:val="16"/>
    <w:uiPriority w:val="99"/>
    <w:rPr>
      <w:color w:val="1E4D74"/>
      <w:sz w:val="20"/>
    </w:rPr>
  </w:style>
  <w:style w:type="character" w:customStyle="1" w:styleId="33">
    <w:name w:val="Footer Char"/>
    <w:basedOn w:val="8"/>
    <w:link w:val="15"/>
    <w:uiPriority w:val="99"/>
    <w:rPr>
      <w:color w:val="1E4D74"/>
      <w:sz w:val="20"/>
    </w:rPr>
  </w:style>
  <w:style w:type="paragraph" w:customStyle="1" w:styleId="34">
    <w:name w:val="HiddenCR"/>
    <w:basedOn w:val="1"/>
    <w:next w:val="1"/>
    <w:qFormat/>
    <w:uiPriority w:val="0"/>
    <w:pPr>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000000"/>
      <w:sz w:val="2"/>
      <w:szCs w:val="18"/>
      <w:lang w:eastAsia="fr-FR"/>
    </w:rPr>
  </w:style>
  <w:style w:type="paragraph" w:customStyle="1" w:styleId="35">
    <w:name w:val="HeadingSection"/>
    <w:basedOn w:val="1"/>
    <w:next w:val="1"/>
    <w:link w:val="36"/>
    <w:qFormat/>
    <w:uiPriority w:val="0"/>
    <w:pPr>
      <w:ind w:left="113" w:right="113"/>
      <w:jc w:val="center"/>
    </w:pPr>
    <w:rPr>
      <w:rFonts w:ascii="Arial" w:hAnsi="Arial" w:cs="Arial"/>
      <w:b/>
      <w:color w:val="E46C0A" w:themeColor="accent6" w:themeShade="BF"/>
      <w:sz w:val="14"/>
      <w:szCs w:val="12"/>
      <w:lang w:val="en-US"/>
    </w:rPr>
  </w:style>
  <w:style w:type="character" w:customStyle="1" w:styleId="36">
    <w:name w:val="HeadingSection Car"/>
    <w:basedOn w:val="8"/>
    <w:link w:val="35"/>
    <w:uiPriority w:val="0"/>
    <w:rPr>
      <w:rFonts w:ascii="Arial" w:hAnsi="Arial" w:cs="Arial"/>
      <w:b/>
      <w:color w:val="E46C0A" w:themeColor="accent6" w:themeShade="BF"/>
      <w:sz w:val="14"/>
      <w:szCs w:val="12"/>
      <w:lang w:val="en-US"/>
    </w:rPr>
  </w:style>
  <w:style w:type="paragraph" w:styleId="37">
    <w:name w:val="List Paragraph"/>
    <w:basedOn w:val="1"/>
    <w:qFormat/>
    <w:uiPriority w:val="34"/>
    <w:pPr>
      <w:ind w:left="720"/>
      <w:contextualSpacing/>
    </w:pPr>
  </w:style>
  <w:style w:type="paragraph" w:customStyle="1" w:styleId="38">
    <w:name w:val="NumTitle"/>
    <w:basedOn w:val="2"/>
    <w:link w:val="40"/>
    <w:qFormat/>
    <w:uiPriority w:val="0"/>
    <w:pPr>
      <w:spacing w:before="0" w:after="0"/>
      <w:outlineLvl w:val="9"/>
    </w:pPr>
    <w:rPr>
      <w:sz w:val="52"/>
      <w:lang w:val="en-US"/>
    </w:rPr>
  </w:style>
  <w:style w:type="paragraph" w:customStyle="1" w:styleId="39">
    <w:name w:val="NumHead"/>
    <w:basedOn w:val="1"/>
    <w:link w:val="42"/>
    <w:qFormat/>
    <w:uiPriority w:val="0"/>
    <w:pPr>
      <w:spacing w:after="120"/>
    </w:pPr>
    <w:rPr>
      <w:rFonts w:ascii="Calibri" w:hAnsi="Calibri" w:cs="Calibri"/>
      <w:b/>
      <w:sz w:val="48"/>
      <w:szCs w:val="60"/>
    </w:rPr>
  </w:style>
  <w:style w:type="character" w:customStyle="1" w:styleId="40">
    <w:name w:val="NumTitle Car"/>
    <w:basedOn w:val="8"/>
    <w:link w:val="38"/>
    <w:qFormat/>
    <w:uiPriority w:val="0"/>
    <w:rPr>
      <w:rFonts w:ascii="Calibri" w:hAnsi="Calibri" w:eastAsiaTheme="majorEastAsia" w:cstheme="majorBidi"/>
      <w:b/>
      <w:color w:val="FFFFFF" w:themeColor="background1"/>
      <w:sz w:val="52"/>
      <w:szCs w:val="28"/>
      <w:lang w:val="en-US"/>
      <w14:textFill>
        <w14:solidFill>
          <w14:schemeClr w14:val="bg1"/>
        </w14:solidFill>
      </w14:textFill>
    </w:rPr>
  </w:style>
  <w:style w:type="paragraph" w:customStyle="1" w:styleId="41">
    <w:name w:val="LineHead"/>
    <w:basedOn w:val="1"/>
    <w:link w:val="43"/>
    <w:qFormat/>
    <w:uiPriority w:val="0"/>
    <w:pPr>
      <w:spacing w:after="120"/>
    </w:pPr>
    <w:rPr>
      <w:lang w:val="en-US"/>
    </w:rPr>
  </w:style>
  <w:style w:type="character" w:customStyle="1" w:styleId="42">
    <w:name w:val="NumHead Car"/>
    <w:basedOn w:val="8"/>
    <w:link w:val="39"/>
    <w:qFormat/>
    <w:uiPriority w:val="0"/>
    <w:rPr>
      <w:rFonts w:ascii="Calibri" w:hAnsi="Calibri" w:cs="Calibri"/>
      <w:b/>
      <w:color w:val="000000" w:themeColor="text1"/>
      <w:sz w:val="48"/>
      <w:szCs w:val="60"/>
      <w14:textFill>
        <w14:solidFill>
          <w14:schemeClr w14:val="tx1"/>
        </w14:solidFill>
      </w14:textFill>
    </w:rPr>
  </w:style>
  <w:style w:type="character" w:customStyle="1" w:styleId="43">
    <w:name w:val="LineHead Car"/>
    <w:basedOn w:val="8"/>
    <w:link w:val="41"/>
    <w:qFormat/>
    <w:uiPriority w:val="0"/>
    <w:rPr>
      <w:color w:val="1E4D74"/>
      <w:sz w:val="20"/>
      <w:lang w:val="en-US"/>
    </w:rPr>
  </w:style>
  <w:style w:type="paragraph" w:customStyle="1" w:styleId="44">
    <w:name w:val="Mark"/>
    <w:basedOn w:val="18"/>
    <w:link w:val="45"/>
    <w:qFormat/>
    <w:uiPriority w:val="0"/>
    <w:rPr>
      <w:rFonts w:eastAsia="Calibri" w:cs="Consolas"/>
      <w:lang w:eastAsia="fr-FR"/>
    </w:rPr>
  </w:style>
  <w:style w:type="character" w:customStyle="1" w:styleId="45">
    <w:name w:val="Mark Char"/>
    <w:basedOn w:val="46"/>
    <w:link w:val="44"/>
    <w:qFormat/>
    <w:uiPriority w:val="0"/>
    <w:rPr>
      <w:rFonts w:ascii="Consolas" w:hAnsi="Consolas" w:eastAsia="Calibri" w:cs="Consolas"/>
      <w:color w:val="1E4D74"/>
      <w:sz w:val="20"/>
      <w:szCs w:val="20"/>
      <w:lang w:eastAsia="fr-FR"/>
    </w:rPr>
  </w:style>
  <w:style w:type="character" w:customStyle="1" w:styleId="46">
    <w:name w:val="Macro Text Char"/>
    <w:basedOn w:val="8"/>
    <w:link w:val="18"/>
    <w:semiHidden/>
    <w:qFormat/>
    <w:uiPriority w:val="99"/>
    <w:rPr>
      <w:rFonts w:ascii="Consolas" w:hAnsi="Consolas"/>
      <w:color w:val="1E4D74"/>
      <w:sz w:val="20"/>
      <w:szCs w:val="20"/>
    </w:rPr>
  </w:style>
  <w:style w:type="character" w:customStyle="1" w:styleId="47">
    <w:name w:val="Heading 4 Char"/>
    <w:basedOn w:val="8"/>
    <w:link w:val="5"/>
    <w:qFormat/>
    <w:uiPriority w:val="9"/>
    <w:rPr>
      <w:rFonts w:ascii="Calibri" w:hAnsi="Calibri"/>
      <w:b/>
      <w:color w:val="000000" w:themeColor="text1"/>
      <w:sz w:val="20"/>
      <w14:textFill>
        <w14:solidFill>
          <w14:schemeClr w14:val="tx1"/>
        </w14:solidFill>
      </w14:textFill>
    </w:rPr>
  </w:style>
  <w:style w:type="character" w:customStyle="1" w:styleId="48">
    <w:name w:val="Heading 5 Char"/>
    <w:basedOn w:val="8"/>
    <w:link w:val="6"/>
    <w:semiHidden/>
    <w:qFormat/>
    <w:uiPriority w:val="9"/>
    <w:rPr>
      <w:rFonts w:asciiTheme="majorHAnsi" w:hAnsiTheme="majorHAnsi" w:eastAsiaTheme="majorEastAsia" w:cstheme="majorBidi"/>
      <w:color w:val="254061" w:themeColor="accent1" w:themeShade="80"/>
      <w:sz w:val="18"/>
      <w:szCs w:val="18"/>
      <w:lang w:eastAsia="fr-FR"/>
    </w:rPr>
  </w:style>
  <w:style w:type="character" w:customStyle="1" w:styleId="49">
    <w:name w:val="Heading 6 Char"/>
    <w:basedOn w:val="8"/>
    <w:link w:val="7"/>
    <w:semiHidden/>
    <w:qFormat/>
    <w:uiPriority w:val="9"/>
    <w:rPr>
      <w:rFonts w:asciiTheme="majorHAnsi" w:hAnsiTheme="majorHAnsi" w:eastAsiaTheme="majorEastAsia" w:cstheme="majorBidi"/>
      <w:i/>
      <w:iCs/>
      <w:color w:val="254061" w:themeColor="accent1" w:themeShade="80"/>
      <w:lang w:eastAsia="fr-FR"/>
    </w:rPr>
  </w:style>
  <w:style w:type="character" w:customStyle="1" w:styleId="50">
    <w:name w:val="Balloon Text Char"/>
    <w:basedOn w:val="8"/>
    <w:link w:val="10"/>
    <w:semiHidden/>
    <w:uiPriority w:val="99"/>
    <w:rPr>
      <w:rFonts w:ascii="Tahoma" w:hAnsi="Tahoma" w:eastAsia="Calibri" w:cs="Tahoma"/>
      <w:color w:val="000000"/>
      <w:sz w:val="16"/>
      <w:szCs w:val="16"/>
      <w:lang w:eastAsia="fr-FR"/>
    </w:rPr>
  </w:style>
  <w:style w:type="paragraph" w:customStyle="1" w:styleId="51">
    <w:name w:val="Heading 3 sub"/>
    <w:basedOn w:val="1"/>
    <w:link w:val="52"/>
    <w:qFormat/>
    <w:uiPriority w:val="0"/>
    <w:pPr>
      <w:pBdr>
        <w:top w:val="none" w:color="auto" w:sz="0" w:space="0"/>
        <w:left w:val="none" w:color="auto" w:sz="0" w:space="0"/>
        <w:bottom w:val="none" w:color="auto" w:sz="0" w:space="0"/>
        <w:right w:val="none" w:color="auto" w:sz="0" w:space="0"/>
        <w:between w:val="none" w:color="auto" w:sz="0" w:space="0"/>
      </w:pBdr>
      <w:spacing w:after="40"/>
    </w:pPr>
    <w:rPr>
      <w:rFonts w:ascii="Calibri" w:hAnsi="Calibri" w:eastAsia="Calibri" w:cs="Calibri"/>
      <w:b/>
      <w:color w:val="000000"/>
      <w:sz w:val="18"/>
      <w:szCs w:val="18"/>
      <w:lang w:eastAsia="fr-FR"/>
    </w:rPr>
  </w:style>
  <w:style w:type="character" w:customStyle="1" w:styleId="52">
    <w:name w:val="Heading 3 sub Char"/>
    <w:basedOn w:val="8"/>
    <w:link w:val="51"/>
    <w:uiPriority w:val="0"/>
    <w:rPr>
      <w:rFonts w:ascii="Calibri" w:hAnsi="Calibri" w:eastAsia="Calibri" w:cs="Calibri"/>
      <w:b/>
      <w:color w:val="000000"/>
      <w:sz w:val="18"/>
      <w:szCs w:val="18"/>
      <w:lang w:eastAsia="fr-FR"/>
    </w:rPr>
  </w:style>
  <w:style w:type="paragraph" w:customStyle="1" w:styleId="53">
    <w:name w:val="Normal_underlined"/>
    <w:basedOn w:val="1"/>
    <w:link w:val="54"/>
    <w:qFormat/>
    <w:uiPriority w:val="0"/>
    <w:pPr>
      <w:pBdr>
        <w:top w:val="none" w:color="auto" w:sz="0" w:space="0"/>
        <w:left w:val="none" w:color="auto" w:sz="0" w:space="0"/>
        <w:bottom w:val="none" w:color="auto" w:sz="0" w:space="0"/>
        <w:right w:val="none" w:color="auto" w:sz="0" w:space="0"/>
        <w:between w:val="none" w:color="auto" w:sz="0" w:space="0"/>
      </w:pBdr>
    </w:pPr>
    <w:rPr>
      <w:rFonts w:ascii="Verdana" w:hAnsi="Verdana" w:eastAsia="Calibri" w:cs="Calibri"/>
      <w:color w:val="000000"/>
      <w:sz w:val="16"/>
      <w:szCs w:val="18"/>
      <w:u w:val="single"/>
      <w:lang w:eastAsia="fr-FR"/>
    </w:rPr>
  </w:style>
  <w:style w:type="character" w:customStyle="1" w:styleId="54">
    <w:name w:val="Normal_underlined Char"/>
    <w:basedOn w:val="8"/>
    <w:link w:val="53"/>
    <w:uiPriority w:val="0"/>
    <w:rPr>
      <w:rFonts w:ascii="Verdana" w:hAnsi="Verdana" w:eastAsia="Calibri" w:cs="Calibri"/>
      <w:color w:val="000000"/>
      <w:sz w:val="16"/>
      <w:szCs w:val="18"/>
      <w:u w:val="single"/>
      <w:lang w:eastAsia="fr-FR"/>
    </w:rPr>
  </w:style>
  <w:style w:type="paragraph" w:customStyle="1" w:styleId="55">
    <w:name w:val="Sous-titre1"/>
    <w:basedOn w:val="3"/>
    <w:next w:val="1"/>
    <w:link w:val="56"/>
    <w:qFormat/>
    <w:uiPriority w:val="0"/>
    <w:pPr>
      <w:keepNext w:val="0"/>
      <w:keepLines w:val="0"/>
      <w:pBdr>
        <w:top w:val="none" w:color="auto" w:sz="0" w:space="0"/>
        <w:left w:val="none" w:color="auto" w:sz="0" w:space="0"/>
        <w:bottom w:val="none" w:color="auto" w:sz="0" w:space="0"/>
        <w:right w:val="none" w:color="auto" w:sz="0" w:space="0"/>
        <w:between w:val="none" w:color="auto" w:sz="0" w:space="0"/>
      </w:pBdr>
      <w:spacing w:after="40"/>
      <w:ind w:left="403" w:hanging="403"/>
    </w:pPr>
    <w:rPr>
      <w:rFonts w:cs="Calibri (Corps)"/>
      <w:color w:val="005F92"/>
      <w:sz w:val="18"/>
      <w:szCs w:val="18"/>
      <w:lang w:eastAsia="fr-FR"/>
    </w:rPr>
  </w:style>
  <w:style w:type="character" w:customStyle="1" w:styleId="56">
    <w:name w:val="Sous-titre1 Car"/>
    <w:basedOn w:val="25"/>
    <w:link w:val="55"/>
    <w:uiPriority w:val="0"/>
    <w:rPr>
      <w:rFonts w:ascii="Calibri" w:hAnsi="Calibri" w:cs="Calibri (Corps)" w:eastAsiaTheme="majorEastAsia"/>
      <w:color w:val="005F92"/>
      <w:sz w:val="18"/>
      <w:szCs w:val="18"/>
      <w:lang w:val="en-US" w:eastAsia="fr-FR"/>
    </w:rPr>
  </w:style>
  <w:style w:type="paragraph" w:customStyle="1" w:styleId="57">
    <w:name w:val="SDS_header_title"/>
    <w:basedOn w:val="1"/>
    <w:link w:val="70"/>
    <w:qFormat/>
    <w:uiPriority w:val="0"/>
    <w:pPr>
      <w:pBdr>
        <w:top w:val="none" w:color="auto" w:sz="0" w:space="0"/>
        <w:left w:val="none" w:color="auto" w:sz="0" w:space="0"/>
        <w:bottom w:val="none" w:color="auto" w:sz="0" w:space="0"/>
        <w:right w:val="none" w:color="auto" w:sz="0" w:space="0"/>
        <w:between w:val="none" w:color="auto" w:sz="0" w:space="0"/>
      </w:pBdr>
      <w:spacing w:line="480" w:lineRule="auto"/>
      <w:ind w:right="-108"/>
    </w:pPr>
    <w:rPr>
      <w:rFonts w:ascii="Tahoma" w:hAnsi="Tahoma" w:eastAsia="Tahoma" w:cs="Tahoma"/>
      <w:color w:val="2C72AB"/>
      <w:sz w:val="24"/>
      <w:szCs w:val="24"/>
      <w:lang w:eastAsia="fr-FR"/>
    </w:rPr>
  </w:style>
  <w:style w:type="paragraph" w:customStyle="1" w:styleId="58">
    <w:name w:val="SDS_header_info"/>
    <w:basedOn w:val="1"/>
    <w:qFormat/>
    <w:uiPriority w:val="0"/>
    <w:pPr>
      <w:pBdr>
        <w:top w:val="none" w:color="auto" w:sz="0" w:space="0"/>
        <w:left w:val="none" w:color="auto" w:sz="0" w:space="0"/>
        <w:bottom w:val="none" w:color="auto" w:sz="0" w:space="0"/>
        <w:right w:val="none" w:color="auto" w:sz="0" w:space="0"/>
        <w:between w:val="none" w:color="auto" w:sz="0" w:space="0"/>
      </w:pBdr>
    </w:pPr>
    <w:rPr>
      <w:rFonts w:ascii="Calibri" w:hAnsi="Calibri" w:eastAsia="Calibri" w:cs="Calibri"/>
      <w:color w:val="7F7F7F"/>
      <w:sz w:val="16"/>
      <w:szCs w:val="16"/>
      <w:lang w:eastAsia="fr-FR"/>
    </w:rPr>
  </w:style>
  <w:style w:type="paragraph" w:customStyle="1" w:styleId="59">
    <w:name w:val="SDS_chapter_title"/>
    <w:basedOn w:val="2"/>
    <w:link w:val="60"/>
    <w:autoRedefine/>
    <w:qFormat/>
    <w:uiPriority w:val="0"/>
    <w:pPr>
      <w:keepNext w:val="0"/>
      <w:keepLines w:val="0"/>
      <w:pBdr>
        <w:top w:val="none" w:color="auto" w:sz="0" w:space="0"/>
        <w:left w:val="single" w:color="F1871D" w:sz="12" w:space="4"/>
        <w:bottom w:val="none" w:color="auto" w:sz="0" w:space="0"/>
        <w:right w:val="none" w:color="auto" w:sz="0" w:space="0"/>
        <w:between w:val="none" w:color="auto" w:sz="0" w:space="0"/>
      </w:pBdr>
      <w:spacing w:before="600" w:after="360"/>
      <w:ind w:left="720" w:hanging="720"/>
    </w:pPr>
    <w:rPr>
      <w:rFonts w:eastAsia="Calibri" w:cs="Calibri"/>
      <w:caps/>
      <w:color w:val="003E61"/>
      <w:sz w:val="26"/>
      <w:szCs w:val="26"/>
      <w:lang w:eastAsia="fr-FR"/>
    </w:rPr>
  </w:style>
  <w:style w:type="character" w:customStyle="1" w:styleId="60">
    <w:name w:val="SDS_chapter_title Car"/>
    <w:basedOn w:val="8"/>
    <w:link w:val="59"/>
    <w:uiPriority w:val="0"/>
    <w:rPr>
      <w:rFonts w:ascii="Calibri" w:hAnsi="Calibri" w:eastAsia="Calibri" w:cs="Calibri"/>
      <w:b/>
      <w:caps/>
      <w:color w:val="003E61"/>
      <w:sz w:val="26"/>
      <w:szCs w:val="26"/>
      <w:lang w:eastAsia="fr-FR"/>
    </w:rPr>
  </w:style>
  <w:style w:type="paragraph" w:customStyle="1" w:styleId="61">
    <w:name w:val="SDS_chapter_1"/>
    <w:basedOn w:val="3"/>
    <w:link w:val="63"/>
    <w:qFormat/>
    <w:uiPriority w:val="0"/>
    <w:pPr>
      <w:pBdr>
        <w:top w:val="none" w:color="auto" w:sz="0" w:space="0"/>
        <w:left w:val="none" w:color="auto" w:sz="0" w:space="0"/>
        <w:bottom w:val="none" w:color="auto" w:sz="0" w:space="0"/>
        <w:right w:val="none" w:color="auto" w:sz="0" w:space="0"/>
        <w:between w:val="none" w:color="auto" w:sz="0" w:space="0"/>
      </w:pBdr>
      <w:shd w:val="solid" w:color="BCD7EE" w:fill="C6D9F0" w:themeFill="text2" w:themeFillTint="33"/>
      <w:spacing w:before="40" w:after="40"/>
      <w:ind w:left="403" w:hanging="403"/>
    </w:pPr>
    <w:rPr>
      <w:rFonts w:cs="Calibri (Corps)"/>
      <w:color w:val="005F92"/>
      <w:sz w:val="18"/>
      <w:szCs w:val="18"/>
      <w:lang w:eastAsia="fr-FR"/>
    </w:rPr>
  </w:style>
  <w:style w:type="paragraph" w:customStyle="1" w:styleId="62">
    <w:name w:val="SDS_Chapter_2"/>
    <w:basedOn w:val="4"/>
    <w:link w:val="65"/>
    <w:qFormat/>
    <w:uiPriority w:val="0"/>
    <w:pPr>
      <w:spacing w:before="40" w:after="40"/>
    </w:pPr>
    <w:rPr>
      <w:bCs/>
      <w:sz w:val="18"/>
    </w:rPr>
  </w:style>
  <w:style w:type="character" w:customStyle="1" w:styleId="63">
    <w:name w:val="SDS_chapter_1 Car"/>
    <w:basedOn w:val="25"/>
    <w:link w:val="61"/>
    <w:qFormat/>
    <w:uiPriority w:val="0"/>
    <w:rPr>
      <w:rFonts w:ascii="Calibri" w:hAnsi="Calibri" w:cs="Calibri (Corps)" w:eastAsiaTheme="majorEastAsia"/>
      <w:color w:val="005F92"/>
      <w:sz w:val="18"/>
      <w:szCs w:val="18"/>
      <w:shd w:val="solid" w:color="BCD7EE" w:fill="C6D9F0" w:themeFill="text2" w:themeFillTint="33"/>
      <w:lang w:val="en-US" w:eastAsia="fr-FR"/>
    </w:rPr>
  </w:style>
  <w:style w:type="paragraph" w:customStyle="1" w:styleId="64">
    <w:name w:val="SDS_Chapter_3"/>
    <w:basedOn w:val="5"/>
    <w:link w:val="67"/>
    <w:qFormat/>
    <w:uiPriority w:val="0"/>
    <w:rPr>
      <w:i/>
      <w:color w:val="000000"/>
    </w:rPr>
  </w:style>
  <w:style w:type="character" w:customStyle="1" w:styleId="65">
    <w:name w:val="SDS_Chapter_2 Car"/>
    <w:basedOn w:val="31"/>
    <w:link w:val="62"/>
    <w:uiPriority w:val="0"/>
    <w:rPr>
      <w:rFonts w:eastAsia="Calibri" w:cs="Calibri"/>
      <w:b/>
      <w:bCs/>
      <w:color w:val="000000" w:themeColor="text1"/>
      <w:sz w:val="18"/>
      <w:szCs w:val="18"/>
      <w:lang w:eastAsia="fr-FR"/>
      <w14:textFill>
        <w14:solidFill>
          <w14:schemeClr w14:val="tx1"/>
        </w14:solidFill>
      </w14:textFill>
    </w:rPr>
  </w:style>
  <w:style w:type="paragraph" w:customStyle="1" w:styleId="66">
    <w:name w:val="SDS_Chapter_4"/>
    <w:basedOn w:val="6"/>
    <w:link w:val="68"/>
    <w:qFormat/>
    <w:uiPriority w:val="0"/>
    <w:pPr>
      <w:spacing w:before="0"/>
    </w:pPr>
    <w:rPr>
      <w:rFonts w:ascii="Calibri" w:hAnsi="Calibri"/>
      <w:b/>
      <w:color w:val="000000"/>
      <w:sz w:val="16"/>
      <w:u w:val="single"/>
    </w:rPr>
  </w:style>
  <w:style w:type="character" w:customStyle="1" w:styleId="67">
    <w:name w:val="SDS_Chapter_3 Car"/>
    <w:basedOn w:val="31"/>
    <w:link w:val="64"/>
    <w:uiPriority w:val="0"/>
    <w:rPr>
      <w:rFonts w:ascii="Calibri" w:hAnsi="Calibri" w:eastAsiaTheme="majorEastAsia" w:cstheme="majorBidi"/>
      <w:b/>
      <w:bCs/>
      <w:iCs/>
      <w:color w:val="000000"/>
      <w:sz w:val="18"/>
      <w:szCs w:val="18"/>
      <w:lang w:eastAsia="fr-FR"/>
    </w:rPr>
  </w:style>
  <w:style w:type="character" w:customStyle="1" w:styleId="68">
    <w:name w:val="SDS_Chapter_4 Car"/>
    <w:basedOn w:val="31"/>
    <w:link w:val="66"/>
    <w:qFormat/>
    <w:uiPriority w:val="0"/>
    <w:rPr>
      <w:rFonts w:ascii="Calibri" w:hAnsi="Calibri" w:eastAsiaTheme="majorEastAsia" w:cstheme="majorBidi"/>
      <w:b/>
      <w:color w:val="000000"/>
      <w:sz w:val="16"/>
      <w:szCs w:val="18"/>
      <w:u w:val="single"/>
      <w:lang w:eastAsia="fr-FR"/>
    </w:rPr>
  </w:style>
  <w:style w:type="paragraph" w:customStyle="1" w:styleId="69">
    <w:name w:val="SDS_header_main"/>
    <w:basedOn w:val="1"/>
    <w:link w:val="71"/>
    <w:qFormat/>
    <w:uiPriority w:val="0"/>
    <w:pPr>
      <w:pBdr>
        <w:top w:val="none" w:color="auto" w:sz="0" w:space="0"/>
        <w:left w:val="none" w:color="auto" w:sz="0" w:space="0"/>
        <w:bottom w:val="none" w:color="auto" w:sz="0" w:space="0"/>
        <w:right w:val="none" w:color="auto" w:sz="0" w:space="0"/>
        <w:between w:val="none" w:color="auto" w:sz="0" w:space="0"/>
      </w:pBdr>
      <w:spacing w:after="240"/>
    </w:pPr>
    <w:rPr>
      <w:rFonts w:ascii="Tahoma" w:hAnsi="Tahoma" w:eastAsia="Tahoma" w:cs="Tahoma"/>
      <w:b/>
      <w:color w:val="243F61"/>
      <w:sz w:val="48"/>
      <w:szCs w:val="48"/>
      <w:lang w:eastAsia="fr-FR"/>
    </w:rPr>
  </w:style>
  <w:style w:type="character" w:customStyle="1" w:styleId="70">
    <w:name w:val="SDS_header_title Car"/>
    <w:basedOn w:val="8"/>
    <w:link w:val="57"/>
    <w:qFormat/>
    <w:uiPriority w:val="0"/>
    <w:rPr>
      <w:rFonts w:ascii="Tahoma" w:hAnsi="Tahoma" w:eastAsia="Tahoma" w:cs="Tahoma"/>
      <w:color w:val="2C72AB"/>
      <w:sz w:val="24"/>
      <w:szCs w:val="24"/>
      <w:lang w:eastAsia="fr-FR"/>
    </w:rPr>
  </w:style>
  <w:style w:type="character" w:customStyle="1" w:styleId="71">
    <w:name w:val="SDS_header_main Car"/>
    <w:basedOn w:val="70"/>
    <w:link w:val="69"/>
    <w:qFormat/>
    <w:uiPriority w:val="0"/>
    <w:rPr>
      <w:rFonts w:ascii="Tahoma" w:hAnsi="Tahoma" w:eastAsia="Tahoma" w:cs="Tahoma"/>
      <w:b/>
      <w:color w:val="243F61"/>
      <w:sz w:val="48"/>
      <w:szCs w:val="48"/>
      <w:lang w:eastAsia="fr-FR"/>
    </w:rPr>
  </w:style>
  <w:style w:type="table" w:customStyle="1" w:styleId="72">
    <w:name w:val="Grille du tableau1"/>
    <w:basedOn w:val="22"/>
    <w:qFormat/>
    <w:uiPriority w:val="59"/>
    <w:pPr>
      <w:spacing w:after="0" w:line="240" w:lineRule="auto"/>
    </w:pPr>
    <w:rPr>
      <w:rFonts w:ascii="Calibri" w:hAnsi="Calibri" w:eastAsia="Calibri" w:cs="Calibri"/>
      <w:lang w:eastAsia="fr-F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3">
    <w:name w:val="Document Map Char"/>
    <w:basedOn w:val="8"/>
    <w:link w:val="14"/>
    <w:semiHidden/>
    <w:uiPriority w:val="99"/>
    <w:rPr>
      <w:rFonts w:ascii="Tahoma" w:hAnsi="Tahoma" w:eastAsia="Calibri" w:cs="Tahoma"/>
      <w:color w:val="000000"/>
      <w:sz w:val="16"/>
      <w:szCs w:val="16"/>
      <w:lang w:eastAsia="fr-FR"/>
    </w:rPr>
  </w:style>
  <w:style w:type="character" w:customStyle="1" w:styleId="74">
    <w:name w:val="Commentaire Car"/>
    <w:basedOn w:val="8"/>
    <w:uiPriority w:val="99"/>
    <w:rPr>
      <w:color w:val="1E4D74"/>
      <w:sz w:val="20"/>
      <w:szCs w:val="20"/>
    </w:rPr>
  </w:style>
  <w:style w:type="character" w:customStyle="1" w:styleId="75">
    <w:name w:val="Comment Text Char"/>
    <w:link w:val="12"/>
    <w:semiHidden/>
    <w:qFormat/>
    <w:uiPriority w:val="99"/>
    <w:rPr>
      <w:rFonts w:ascii="Calibri" w:hAnsi="Calibri" w:eastAsia="Calibri" w:cs="Calibri"/>
      <w:color w:val="000000"/>
      <w:sz w:val="20"/>
      <w:szCs w:val="20"/>
      <w:lang w:eastAsia="fr-FR"/>
    </w:rPr>
  </w:style>
  <w:style w:type="paragraph" w:customStyle="1" w:styleId="76">
    <w:name w:val="Ligne_break"/>
    <w:basedOn w:val="1"/>
    <w:qFormat/>
    <w:uiPriority w:val="0"/>
    <w:pPr>
      <w:pBdr>
        <w:top w:val="none" w:color="auto" w:sz="0" w:space="0"/>
        <w:left w:val="none" w:color="auto" w:sz="0" w:space="0"/>
        <w:bottom w:val="none" w:color="auto" w:sz="0" w:space="0"/>
        <w:right w:val="none" w:color="auto" w:sz="0" w:space="0"/>
        <w:between w:val="none" w:color="auto" w:sz="0" w:space="0"/>
      </w:pBdr>
      <w:tabs>
        <w:tab w:val="left" w:pos="480"/>
        <w:tab w:val="left" w:pos="960"/>
        <w:tab w:val="left" w:pos="1440"/>
        <w:tab w:val="left" w:pos="1920"/>
        <w:tab w:val="left" w:pos="2400"/>
        <w:tab w:val="left" w:pos="2880"/>
        <w:tab w:val="left" w:pos="3360"/>
        <w:tab w:val="left" w:pos="3840"/>
        <w:tab w:val="left" w:pos="4320"/>
      </w:tabs>
    </w:pPr>
    <w:rPr>
      <w:rFonts w:ascii="Calibri" w:hAnsi="Calibri" w:eastAsia="Calibri" w:cs="Calibri"/>
      <w:sz w:val="16"/>
      <w:szCs w:val="16"/>
      <w:lang w:eastAsia="fr-FR"/>
    </w:rPr>
  </w:style>
  <w:style w:type="paragraph" w:customStyle="1" w:styleId="77">
    <w:name w:val="Normal-bold"/>
    <w:basedOn w:val="1"/>
    <w:qFormat/>
    <w:uiPriority w:val="0"/>
    <w:pPr>
      <w:pBdr>
        <w:top w:val="none" w:color="auto" w:sz="0" w:space="0"/>
        <w:left w:val="none" w:color="auto" w:sz="0" w:space="0"/>
        <w:bottom w:val="none" w:color="auto" w:sz="0" w:space="0"/>
        <w:right w:val="none" w:color="auto" w:sz="0" w:space="0"/>
        <w:between w:val="none" w:color="auto" w:sz="0" w:space="0"/>
      </w:pBdr>
      <w:spacing w:after="80"/>
    </w:pPr>
    <w:rPr>
      <w:rFonts w:ascii="Calibri" w:hAnsi="Calibri" w:eastAsia="Calibri" w:cs="Calibri"/>
      <w:b/>
      <w:bCs/>
      <w:color w:val="000000"/>
      <w:sz w:val="18"/>
      <w:szCs w:val="18"/>
      <w:lang w:eastAsia="fr-FR"/>
    </w:rPr>
  </w:style>
  <w:style w:type="character" w:customStyle="1" w:styleId="78">
    <w:name w:val="Objet du commentaire Car"/>
    <w:basedOn w:val="74"/>
    <w:semiHidden/>
    <w:uiPriority w:val="99"/>
    <w:rPr>
      <w:b/>
      <w:bCs/>
      <w:color w:val="1E4D74"/>
      <w:sz w:val="20"/>
      <w:szCs w:val="20"/>
    </w:rPr>
  </w:style>
  <w:style w:type="character" w:customStyle="1" w:styleId="79">
    <w:name w:val="Comment Subject Char"/>
    <w:basedOn w:val="75"/>
    <w:link w:val="13"/>
    <w:semiHidden/>
    <w:uiPriority w:val="99"/>
    <w:rPr>
      <w:rFonts w:ascii="Calibri" w:hAnsi="Calibri" w:eastAsia="Calibri" w:cs="Calibri"/>
      <w:b/>
      <w:bCs/>
      <w:color w:val="000000"/>
      <w:sz w:val="20"/>
      <w:szCs w:val="20"/>
      <w:lang w:eastAsia="fr-FR"/>
    </w:rPr>
  </w:style>
  <w:style w:type="paragraph" w:customStyle="1" w:styleId="80">
    <w:name w:val="SDS_Exergue_Italique"/>
    <w:basedOn w:val="3"/>
    <w:qFormat/>
    <w:uiPriority w:val="0"/>
    <w:pPr>
      <w:pBdr>
        <w:top w:val="none" w:color="auto" w:sz="0" w:space="0"/>
        <w:left w:val="none" w:color="auto" w:sz="0" w:space="0"/>
        <w:bottom w:val="none" w:color="auto" w:sz="0" w:space="0"/>
        <w:right w:val="none" w:color="auto" w:sz="0" w:space="0"/>
        <w:between w:val="none" w:color="auto" w:sz="0" w:space="0"/>
      </w:pBdr>
      <w:spacing w:before="120" w:after="120"/>
      <w:ind w:left="403" w:hanging="403"/>
    </w:pPr>
    <w:rPr>
      <w:rFonts w:cs="Calibri (Corps)" w:asciiTheme="minorHAnsi" w:hAnsiTheme="minorHAnsi"/>
      <w:b w:val="0"/>
      <w:i/>
      <w:iCs/>
      <w:sz w:val="18"/>
      <w:szCs w:val="18"/>
      <w:lang w:val="fr-FR" w:eastAsia="fr-FR"/>
    </w:rPr>
  </w:style>
  <w:style w:type="paragraph" w:customStyle="1" w:styleId="81">
    <w:name w:val="SDS_list 1"/>
    <w:basedOn w:val="37"/>
    <w:qFormat/>
    <w:uiPriority w:val="0"/>
    <w:pPr>
      <w:pBdr>
        <w:top w:val="none" w:color="auto" w:sz="0" w:space="0"/>
        <w:left w:val="none" w:color="auto" w:sz="0" w:space="0"/>
        <w:bottom w:val="none" w:color="auto" w:sz="0" w:space="0"/>
        <w:right w:val="none" w:color="auto" w:sz="0" w:space="0"/>
        <w:between w:val="none" w:color="auto" w:sz="0" w:space="0"/>
      </w:pBdr>
      <w:spacing w:before="120" w:after="120"/>
      <w:ind w:left="714" w:hanging="357"/>
    </w:pPr>
    <w:rPr>
      <w:rFonts w:ascii="Calibri" w:hAnsi="Calibri" w:eastAsia="Calibri" w:cs="Calibri"/>
      <w:b/>
      <w:bCs/>
      <w:color w:val="000000"/>
      <w:sz w:val="18"/>
      <w:szCs w:val="18"/>
      <w:lang w:eastAsia="fr-FR"/>
    </w:rPr>
  </w:style>
  <w:style w:type="paragraph" w:customStyle="1" w:styleId="82">
    <w:name w:val="SDS_list 2"/>
    <w:basedOn w:val="1"/>
    <w:qFormat/>
    <w:uiPriority w:val="0"/>
    <w:pPr>
      <w:pBdr>
        <w:top w:val="none" w:color="auto" w:sz="0" w:space="0"/>
        <w:left w:val="none" w:color="auto" w:sz="0" w:space="0"/>
        <w:bottom w:val="none" w:color="auto" w:sz="0" w:space="0"/>
        <w:right w:val="none" w:color="auto" w:sz="0" w:space="0"/>
        <w:between w:val="none" w:color="auto" w:sz="0" w:space="0"/>
      </w:pBdr>
      <w:spacing w:after="80"/>
    </w:pPr>
    <w:rPr>
      <w:rFonts w:ascii="Calibri" w:hAnsi="Calibri" w:eastAsia="Calibri" w:cs="Calibri"/>
      <w:color w:val="000000"/>
      <w:sz w:val="18"/>
      <w:szCs w:val="18"/>
      <w:lang w:eastAsia="fr-FR"/>
    </w:rPr>
  </w:style>
  <w:style w:type="paragraph" w:customStyle="1" w:styleId="83">
    <w:name w:val="SDS_Title 1 (Option 1)"/>
    <w:basedOn w:val="2"/>
    <w:qFormat/>
    <w:uiPriority w:val="0"/>
    <w:pPr>
      <w:keepNext w:val="0"/>
      <w:keepLines w:val="0"/>
      <w:pBdr>
        <w:top w:val="none" w:color="auto" w:sz="0" w:space="0"/>
        <w:left w:val="single" w:color="F1871D" w:sz="12" w:space="4"/>
        <w:bottom w:val="none" w:color="auto" w:sz="0" w:space="0"/>
        <w:right w:val="none" w:color="auto" w:sz="0" w:space="0"/>
        <w:between w:val="none" w:color="auto" w:sz="0" w:space="0"/>
      </w:pBdr>
      <w:shd w:val="clear" w:color="auto" w:fill="003E61"/>
      <w:spacing w:before="240"/>
    </w:pPr>
    <w:rPr>
      <w:rFonts w:eastAsia="Calibri" w:cs="Calibri"/>
      <w:caps/>
      <w:sz w:val="26"/>
      <w:szCs w:val="26"/>
      <w:lang w:eastAsia="fr-FR"/>
    </w:rPr>
  </w:style>
  <w:style w:type="paragraph" w:customStyle="1" w:styleId="84">
    <w:name w:val="SDS_Titre 3"/>
    <w:basedOn w:val="1"/>
    <w:qFormat/>
    <w:uiPriority w:val="0"/>
    <w:pPr>
      <w:pBdr>
        <w:top w:val="none" w:color="auto" w:sz="0" w:space="0"/>
        <w:left w:val="none" w:color="auto" w:sz="0" w:space="0"/>
        <w:bottom w:val="none" w:color="auto" w:sz="0" w:space="0"/>
        <w:right w:val="none" w:color="auto" w:sz="0" w:space="0"/>
        <w:between w:val="none" w:color="auto" w:sz="0" w:space="0"/>
      </w:pBdr>
      <w:spacing w:before="120" w:after="120"/>
    </w:pPr>
    <w:rPr>
      <w:rFonts w:ascii="Calibri" w:hAnsi="Calibri" w:eastAsia="Calibri" w:cs="Calibri"/>
      <w:b/>
      <w:bCs/>
      <w:color w:val="808080" w:themeColor="background1" w:themeShade="80"/>
      <w:szCs w:val="20"/>
      <w:lang w:eastAsia="fr-FR"/>
    </w:rPr>
  </w:style>
  <w:style w:type="character" w:customStyle="1" w:styleId="85">
    <w:name w:val="Subtitle Char"/>
    <w:basedOn w:val="8"/>
    <w:link w:val="20"/>
    <w:uiPriority w:val="11"/>
    <w:rPr>
      <w:rFonts w:ascii="Georgia" w:hAnsi="Georgia" w:eastAsia="Georgia" w:cs="Georgia"/>
      <w:i/>
      <w:color w:val="666666"/>
      <w:sz w:val="48"/>
      <w:szCs w:val="48"/>
      <w:lang w:eastAsia="fr-FR"/>
    </w:rPr>
  </w:style>
  <w:style w:type="table" w:customStyle="1" w:styleId="86">
    <w:name w:val="Table Normal1"/>
    <w:qFormat/>
    <w:uiPriority w:val="0"/>
    <w:rPr>
      <w:rFonts w:ascii="Calibri" w:hAnsi="Calibri" w:eastAsia="Calibri" w:cs="Calibri"/>
      <w:lang w:eastAsia="fr-FR"/>
    </w:rPr>
    <w:tblPr>
      <w:tblCellMar>
        <w:top w:w="0" w:type="dxa"/>
        <w:left w:w="0" w:type="dxa"/>
        <w:bottom w:w="0" w:type="dxa"/>
        <w:right w:w="0" w:type="dxa"/>
      </w:tblCellMar>
    </w:tblPr>
  </w:style>
  <w:style w:type="table" w:customStyle="1" w:styleId="87">
    <w:name w:val="_Style 95"/>
    <w:basedOn w:val="22"/>
    <w:uiPriority w:val="0"/>
    <w:pPr>
      <w:spacing w:after="0" w:line="240" w:lineRule="auto"/>
    </w:pPr>
    <w:tblPr>
      <w:tblCellMar>
        <w:top w:w="0" w:type="dxa"/>
        <w:left w:w="0" w:type="dxa"/>
        <w:bottom w:w="0" w:type="dxa"/>
        <w:right w:w="0" w:type="dxa"/>
      </w:tblCellMar>
    </w:tblPr>
  </w:style>
  <w:style w:type="table" w:customStyle="1" w:styleId="88">
    <w:name w:val="_Style 96"/>
    <w:basedOn w:val="22"/>
    <w:uiPriority w:val="0"/>
    <w:pPr>
      <w:spacing w:after="0" w:line="240" w:lineRule="auto"/>
    </w:pPr>
    <w:tblPr>
      <w:tblCellMar>
        <w:top w:w="0" w:type="dxa"/>
        <w:left w:w="0" w:type="dxa"/>
        <w:bottom w:w="0" w:type="dxa"/>
        <w:right w:w="0" w:type="dxa"/>
      </w:tblCellMar>
    </w:tblPr>
  </w:style>
  <w:style w:type="table" w:customStyle="1" w:styleId="89">
    <w:name w:val="_Style 97"/>
    <w:basedOn w:val="22"/>
    <w:uiPriority w:val="0"/>
    <w:pPr>
      <w:spacing w:after="0" w:line="240" w:lineRule="auto"/>
    </w:pPr>
    <w:tblPr>
      <w:tblCellMar>
        <w:top w:w="0" w:type="dxa"/>
        <w:left w:w="0" w:type="dxa"/>
        <w:bottom w:w="0" w:type="dxa"/>
        <w:right w:w="108" w:type="dxa"/>
      </w:tblCellMar>
    </w:tblPr>
  </w:style>
  <w:style w:type="table" w:customStyle="1" w:styleId="90">
    <w:name w:val="_Style 98"/>
    <w:basedOn w:val="22"/>
    <w:qFormat/>
    <w:uiPriority w:val="0"/>
    <w:pPr>
      <w:spacing w:after="0" w:line="240" w:lineRule="auto"/>
    </w:pPr>
    <w:tblPr>
      <w:tblCellMar>
        <w:top w:w="0" w:type="dxa"/>
        <w:left w:w="0" w:type="dxa"/>
        <w:bottom w:w="0" w:type="dxa"/>
        <w:right w:w="0" w:type="dxa"/>
      </w:tblCellMar>
    </w:tblPr>
  </w:style>
  <w:style w:type="table" w:customStyle="1" w:styleId="91">
    <w:name w:val="_Style 99"/>
    <w:basedOn w:val="22"/>
    <w:uiPriority w:val="0"/>
    <w:pPr>
      <w:spacing w:after="0" w:line="240" w:lineRule="auto"/>
    </w:pPr>
    <w:tblPr>
      <w:tblCellMar>
        <w:top w:w="0" w:type="dxa"/>
        <w:left w:w="0" w:type="dxa"/>
        <w:bottom w:w="0" w:type="dxa"/>
        <w:right w:w="108" w:type="dxa"/>
      </w:tblCellMar>
    </w:tblPr>
  </w:style>
  <w:style w:type="table" w:customStyle="1" w:styleId="92">
    <w:name w:val="_Style 100"/>
    <w:basedOn w:val="22"/>
    <w:qFormat/>
    <w:uiPriority w:val="0"/>
    <w:pPr>
      <w:spacing w:after="0" w:line="240" w:lineRule="auto"/>
    </w:pPr>
    <w:tblPr>
      <w:tblCellMar>
        <w:top w:w="0" w:type="dxa"/>
        <w:left w:w="0" w:type="dxa"/>
        <w:bottom w:w="0" w:type="dxa"/>
        <w:right w:w="0" w:type="dxa"/>
      </w:tblCellMar>
    </w:tblPr>
  </w:style>
  <w:style w:type="table" w:customStyle="1" w:styleId="93">
    <w:name w:val="_Style 101"/>
    <w:basedOn w:val="22"/>
    <w:qFormat/>
    <w:uiPriority w:val="0"/>
    <w:pPr>
      <w:spacing w:after="0" w:line="240" w:lineRule="auto"/>
    </w:pPr>
    <w:tblPr>
      <w:tblCellMar>
        <w:top w:w="0" w:type="dxa"/>
        <w:left w:w="0" w:type="dxa"/>
        <w:bottom w:w="0" w:type="dxa"/>
        <w:right w:w="108" w:type="dxa"/>
      </w:tblCellMar>
    </w:tblPr>
  </w:style>
  <w:style w:type="table" w:customStyle="1" w:styleId="94">
    <w:name w:val="_Style 102"/>
    <w:basedOn w:val="22"/>
    <w:uiPriority w:val="0"/>
    <w:pPr>
      <w:spacing w:after="0" w:line="240" w:lineRule="auto"/>
    </w:pPr>
    <w:tblPr>
      <w:tblCellMar>
        <w:top w:w="0" w:type="dxa"/>
        <w:left w:w="0" w:type="dxa"/>
        <w:bottom w:w="0" w:type="dxa"/>
        <w:right w:w="0" w:type="dxa"/>
      </w:tblCellMar>
    </w:tblPr>
  </w:style>
  <w:style w:type="table" w:customStyle="1" w:styleId="95">
    <w:name w:val="_Style 103"/>
    <w:basedOn w:val="22"/>
    <w:qFormat/>
    <w:uiPriority w:val="0"/>
    <w:pPr>
      <w:spacing w:after="0" w:line="240" w:lineRule="auto"/>
    </w:pPr>
    <w:tblPr>
      <w:tblCellMar>
        <w:top w:w="0" w:type="dxa"/>
        <w:left w:w="0" w:type="dxa"/>
        <w:bottom w:w="0" w:type="dxa"/>
        <w:right w:w="0" w:type="dxa"/>
      </w:tblCellMar>
    </w:tblPr>
  </w:style>
  <w:style w:type="table" w:customStyle="1" w:styleId="96">
    <w:name w:val="_Style 104"/>
    <w:basedOn w:val="22"/>
    <w:qFormat/>
    <w:uiPriority w:val="0"/>
    <w:pPr>
      <w:spacing w:after="0" w:line="240" w:lineRule="auto"/>
    </w:pPr>
    <w:tblPr>
      <w:tblCellMar>
        <w:top w:w="0" w:type="dxa"/>
        <w:left w:w="0" w:type="dxa"/>
        <w:bottom w:w="0" w:type="dxa"/>
        <w:right w:w="0" w:type="dxa"/>
      </w:tblCellMar>
    </w:tblPr>
  </w:style>
  <w:style w:type="table" w:customStyle="1" w:styleId="97">
    <w:name w:val="_Style 105"/>
    <w:basedOn w:val="22"/>
    <w:qFormat/>
    <w:uiPriority w:val="0"/>
    <w:pPr>
      <w:spacing w:after="0" w:line="240" w:lineRule="auto"/>
    </w:pPr>
    <w:tblPr>
      <w:tblCellMar>
        <w:top w:w="0" w:type="dxa"/>
        <w:left w:w="0" w:type="dxa"/>
        <w:bottom w:w="0" w:type="dxa"/>
        <w:right w:w="108" w:type="dxa"/>
      </w:tblCellMar>
    </w:tblPr>
  </w:style>
  <w:style w:type="table" w:customStyle="1" w:styleId="98">
    <w:name w:val="_Style 106"/>
    <w:basedOn w:val="22"/>
    <w:qFormat/>
    <w:uiPriority w:val="0"/>
    <w:pPr>
      <w:spacing w:after="0" w:line="240" w:lineRule="auto"/>
    </w:pPr>
    <w:tblPr>
      <w:tblCellMar>
        <w:top w:w="0" w:type="dxa"/>
        <w:left w:w="0" w:type="dxa"/>
        <w:bottom w:w="0" w:type="dxa"/>
        <w:right w:w="0" w:type="dxa"/>
      </w:tblCellMar>
    </w:tblPr>
  </w:style>
  <w:style w:type="table" w:customStyle="1" w:styleId="99">
    <w:name w:val="_Style 107"/>
    <w:basedOn w:val="22"/>
    <w:qFormat/>
    <w:uiPriority w:val="0"/>
    <w:pPr>
      <w:spacing w:after="0" w:line="240" w:lineRule="auto"/>
    </w:pPr>
    <w:tblPr>
      <w:tblCellMar>
        <w:top w:w="0" w:type="dxa"/>
        <w:left w:w="0" w:type="dxa"/>
        <w:bottom w:w="0" w:type="dxa"/>
        <w:right w:w="108" w:type="dxa"/>
      </w:tblCellMar>
    </w:tblPr>
  </w:style>
  <w:style w:type="table" w:customStyle="1" w:styleId="100">
    <w:name w:val="_Style 108"/>
    <w:basedOn w:val="22"/>
    <w:qFormat/>
    <w:uiPriority w:val="0"/>
    <w:pPr>
      <w:spacing w:after="0" w:line="240" w:lineRule="auto"/>
    </w:pPr>
    <w:tblPr>
      <w:tblCellMar>
        <w:top w:w="0" w:type="dxa"/>
        <w:left w:w="0" w:type="dxa"/>
        <w:bottom w:w="0" w:type="dxa"/>
        <w:right w:w="108" w:type="dxa"/>
      </w:tblCellMar>
    </w:tblPr>
  </w:style>
  <w:style w:type="table" w:customStyle="1" w:styleId="101">
    <w:name w:val="_Style 109"/>
    <w:basedOn w:val="22"/>
    <w:qFormat/>
    <w:uiPriority w:val="0"/>
    <w:pPr>
      <w:spacing w:after="0" w:line="240" w:lineRule="auto"/>
    </w:pPr>
    <w:tblPr>
      <w:tblCellMar>
        <w:top w:w="0" w:type="dxa"/>
        <w:left w:w="0" w:type="dxa"/>
        <w:bottom w:w="0" w:type="dxa"/>
        <w:right w:w="108" w:type="dxa"/>
      </w:tblCellMar>
    </w:tblPr>
  </w:style>
  <w:style w:type="table" w:customStyle="1" w:styleId="102">
    <w:name w:val="_Style 110"/>
    <w:basedOn w:val="22"/>
    <w:qFormat/>
    <w:uiPriority w:val="0"/>
    <w:pPr>
      <w:spacing w:after="0" w:line="240" w:lineRule="auto"/>
    </w:pPr>
    <w:tblPr>
      <w:tblCellMar>
        <w:top w:w="0" w:type="dxa"/>
        <w:left w:w="0" w:type="dxa"/>
        <w:bottom w:w="0" w:type="dxa"/>
        <w:right w:w="108" w:type="dxa"/>
      </w:tblCellMar>
    </w:tblPr>
  </w:style>
  <w:style w:type="table" w:customStyle="1" w:styleId="103">
    <w:name w:val="_Style 111"/>
    <w:basedOn w:val="22"/>
    <w:qFormat/>
    <w:uiPriority w:val="0"/>
    <w:pPr>
      <w:spacing w:after="0" w:line="240" w:lineRule="auto"/>
    </w:pPr>
    <w:tblPr>
      <w:tblCellMar>
        <w:top w:w="0" w:type="dxa"/>
        <w:left w:w="0" w:type="dxa"/>
        <w:bottom w:w="0" w:type="dxa"/>
        <w:right w:w="0" w:type="dxa"/>
      </w:tblCellMar>
    </w:tblPr>
  </w:style>
  <w:style w:type="table" w:customStyle="1" w:styleId="104">
    <w:name w:val="_Style 112"/>
    <w:basedOn w:val="22"/>
    <w:qFormat/>
    <w:uiPriority w:val="0"/>
    <w:pPr>
      <w:spacing w:after="0" w:line="240" w:lineRule="auto"/>
    </w:pPr>
    <w:tblPr>
      <w:tblCellMar>
        <w:top w:w="0" w:type="dxa"/>
        <w:left w:w="0" w:type="dxa"/>
        <w:bottom w:w="0" w:type="dxa"/>
        <w:right w:w="0" w:type="dxa"/>
      </w:tblCellMar>
    </w:tblPr>
  </w:style>
  <w:style w:type="table" w:customStyle="1" w:styleId="105">
    <w:name w:val="_Style 113"/>
    <w:basedOn w:val="22"/>
    <w:qFormat/>
    <w:uiPriority w:val="0"/>
    <w:pPr>
      <w:spacing w:after="0" w:line="240" w:lineRule="auto"/>
    </w:pPr>
    <w:tblPr>
      <w:tblCellMar>
        <w:top w:w="0" w:type="dxa"/>
        <w:left w:w="0" w:type="dxa"/>
        <w:bottom w:w="0" w:type="dxa"/>
        <w:right w:w="0" w:type="dxa"/>
      </w:tblCellMar>
    </w:tblPr>
  </w:style>
  <w:style w:type="table" w:customStyle="1" w:styleId="106">
    <w:name w:val="_Style 114"/>
    <w:basedOn w:val="22"/>
    <w:qFormat/>
    <w:uiPriority w:val="0"/>
    <w:pPr>
      <w:spacing w:after="0" w:line="240" w:lineRule="auto"/>
    </w:pPr>
    <w:tblPr>
      <w:tblCellMar>
        <w:top w:w="0" w:type="dxa"/>
        <w:left w:w="108" w:type="dxa"/>
        <w:bottom w:w="0" w:type="dxa"/>
        <w:right w:w="108" w:type="dxa"/>
      </w:tblCellMar>
    </w:tblPr>
  </w:style>
  <w:style w:type="table" w:customStyle="1" w:styleId="107">
    <w:name w:val="_Style 115"/>
    <w:basedOn w:val="22"/>
    <w:qFormat/>
    <w:uiPriority w:val="0"/>
    <w:pPr>
      <w:spacing w:after="0" w:line="240" w:lineRule="auto"/>
    </w:pPr>
    <w:tblPr>
      <w:tblCellMar>
        <w:top w:w="0" w:type="dxa"/>
        <w:left w:w="0" w:type="dxa"/>
        <w:bottom w:w="0" w:type="dxa"/>
        <w:right w:w="0" w:type="dxa"/>
      </w:tblCellMar>
    </w:tblPr>
  </w:style>
  <w:style w:type="table" w:customStyle="1" w:styleId="108">
    <w:name w:val="_Style 116"/>
    <w:basedOn w:val="22"/>
    <w:qFormat/>
    <w:uiPriority w:val="0"/>
    <w:pPr>
      <w:spacing w:after="0" w:line="240" w:lineRule="auto"/>
    </w:pPr>
    <w:tblPr>
      <w:tblCellMar>
        <w:top w:w="0" w:type="dxa"/>
        <w:left w:w="0" w:type="dxa"/>
        <w:bottom w:w="0" w:type="dxa"/>
        <w:right w:w="0" w:type="dxa"/>
      </w:tblCellMar>
    </w:tblPr>
  </w:style>
  <w:style w:type="table" w:customStyle="1" w:styleId="109">
    <w:name w:val="_Style 117"/>
    <w:basedOn w:val="22"/>
    <w:qFormat/>
    <w:uiPriority w:val="0"/>
    <w:pPr>
      <w:spacing w:after="0" w:line="240" w:lineRule="auto"/>
    </w:pPr>
    <w:tblPr>
      <w:tblCellMar>
        <w:top w:w="0" w:type="dxa"/>
        <w:left w:w="0" w:type="dxa"/>
        <w:bottom w:w="0" w:type="dxa"/>
        <w:right w:w="0" w:type="dxa"/>
      </w:tblCellMar>
    </w:tblPr>
  </w:style>
  <w:style w:type="table" w:customStyle="1" w:styleId="110">
    <w:name w:val="_Style 118"/>
    <w:basedOn w:val="22"/>
    <w:qFormat/>
    <w:uiPriority w:val="0"/>
    <w:pPr>
      <w:spacing w:after="0" w:line="240" w:lineRule="auto"/>
    </w:pPr>
    <w:tblPr>
      <w:tblCellMar>
        <w:top w:w="0" w:type="dxa"/>
        <w:left w:w="0" w:type="dxa"/>
        <w:bottom w:w="0" w:type="dxa"/>
        <w:right w:w="0" w:type="dxa"/>
      </w:tblCellMar>
    </w:tblPr>
  </w:style>
  <w:style w:type="table" w:customStyle="1" w:styleId="111">
    <w:name w:val="_Style 119"/>
    <w:basedOn w:val="22"/>
    <w:qFormat/>
    <w:uiPriority w:val="0"/>
    <w:pPr>
      <w:spacing w:after="0" w:line="240" w:lineRule="auto"/>
    </w:pPr>
    <w:tblPr>
      <w:tblCellMar>
        <w:top w:w="0" w:type="dxa"/>
        <w:left w:w="0" w:type="dxa"/>
        <w:bottom w:w="0" w:type="dxa"/>
        <w:right w:w="0" w:type="dxa"/>
      </w:tblCellMar>
    </w:tblPr>
  </w:style>
  <w:style w:type="table" w:customStyle="1" w:styleId="112">
    <w:name w:val="_Style 120"/>
    <w:basedOn w:val="22"/>
    <w:qFormat/>
    <w:uiPriority w:val="0"/>
    <w:pPr>
      <w:spacing w:after="0" w:line="240" w:lineRule="auto"/>
    </w:pPr>
    <w:tblPr>
      <w:tblCellMar>
        <w:top w:w="0" w:type="dxa"/>
        <w:left w:w="0" w:type="dxa"/>
        <w:bottom w:w="0" w:type="dxa"/>
        <w:right w:w="0" w:type="dxa"/>
      </w:tblCellMar>
    </w:tblPr>
  </w:style>
  <w:style w:type="table" w:customStyle="1" w:styleId="113">
    <w:name w:val="_Style 121"/>
    <w:basedOn w:val="22"/>
    <w:qFormat/>
    <w:uiPriority w:val="0"/>
    <w:pPr>
      <w:spacing w:after="0" w:line="240" w:lineRule="auto"/>
    </w:pPr>
    <w:tblPr>
      <w:tblCellMar>
        <w:top w:w="0" w:type="dxa"/>
        <w:left w:w="0" w:type="dxa"/>
        <w:bottom w:w="0" w:type="dxa"/>
        <w:right w:w="0" w:type="dxa"/>
      </w:tblCellMar>
    </w:tblPr>
  </w:style>
  <w:style w:type="table" w:customStyle="1" w:styleId="114">
    <w:name w:val="_Style 122"/>
    <w:basedOn w:val="22"/>
    <w:qFormat/>
    <w:uiPriority w:val="0"/>
    <w:pPr>
      <w:spacing w:after="0" w:line="240" w:lineRule="auto"/>
    </w:pPr>
    <w:tblPr>
      <w:tblCellMar>
        <w:top w:w="0" w:type="dxa"/>
        <w:left w:w="0" w:type="dxa"/>
        <w:bottom w:w="0" w:type="dxa"/>
        <w:right w:w="0" w:type="dxa"/>
      </w:tblCellMar>
    </w:tblPr>
  </w:style>
  <w:style w:type="table" w:customStyle="1" w:styleId="115">
    <w:name w:val="_Style 123"/>
    <w:basedOn w:val="22"/>
    <w:qFormat/>
    <w:uiPriority w:val="0"/>
    <w:pPr>
      <w:spacing w:after="0" w:line="240" w:lineRule="auto"/>
    </w:pPr>
    <w:tblPr>
      <w:tblCellMar>
        <w:top w:w="0" w:type="dxa"/>
        <w:left w:w="0" w:type="dxa"/>
        <w:bottom w:w="0" w:type="dxa"/>
        <w:right w:w="0" w:type="dxa"/>
      </w:tblCellMar>
    </w:tblPr>
  </w:style>
  <w:style w:type="table" w:customStyle="1" w:styleId="116">
    <w:name w:val="_Style 124"/>
    <w:basedOn w:val="22"/>
    <w:qFormat/>
    <w:uiPriority w:val="0"/>
    <w:pPr>
      <w:spacing w:after="0" w:line="240" w:lineRule="auto"/>
    </w:pPr>
    <w:tblPr>
      <w:tblCellMar>
        <w:top w:w="0" w:type="dxa"/>
        <w:left w:w="0" w:type="dxa"/>
        <w:bottom w:w="0" w:type="dxa"/>
        <w:right w:w="0" w:type="dxa"/>
      </w:tblCellMar>
    </w:tblPr>
  </w:style>
  <w:style w:type="table" w:customStyle="1" w:styleId="117">
    <w:name w:val="_Style 125"/>
    <w:basedOn w:val="22"/>
    <w:qFormat/>
    <w:uiPriority w:val="0"/>
    <w:pPr>
      <w:spacing w:after="0" w:line="240" w:lineRule="auto"/>
    </w:pPr>
    <w:tblPr>
      <w:tblCellMar>
        <w:top w:w="0" w:type="dxa"/>
        <w:left w:w="0" w:type="dxa"/>
        <w:bottom w:w="0" w:type="dxa"/>
        <w:right w:w="0" w:type="dxa"/>
      </w:tblCellMar>
    </w:tblPr>
  </w:style>
  <w:style w:type="table" w:customStyle="1" w:styleId="118">
    <w:name w:val="_Style 126"/>
    <w:basedOn w:val="22"/>
    <w:qFormat/>
    <w:uiPriority w:val="0"/>
    <w:pPr>
      <w:spacing w:after="0" w:line="240" w:lineRule="auto"/>
    </w:pPr>
    <w:tblPr>
      <w:tblCellMar>
        <w:top w:w="0" w:type="dxa"/>
        <w:left w:w="0" w:type="dxa"/>
        <w:bottom w:w="0" w:type="dxa"/>
        <w:right w:w="0" w:type="dxa"/>
      </w:tblCellMar>
    </w:tblPr>
  </w:style>
  <w:style w:type="table" w:customStyle="1" w:styleId="119">
    <w:name w:val="_Style 127"/>
    <w:basedOn w:val="22"/>
    <w:qFormat/>
    <w:uiPriority w:val="0"/>
    <w:pPr>
      <w:spacing w:after="0" w:line="240" w:lineRule="auto"/>
    </w:pPr>
    <w:tblPr>
      <w:tblCellMar>
        <w:top w:w="0" w:type="dxa"/>
        <w:left w:w="0" w:type="dxa"/>
        <w:bottom w:w="0" w:type="dxa"/>
        <w:right w:w="0" w:type="dxa"/>
      </w:tblCellMar>
    </w:tblPr>
  </w:style>
  <w:style w:type="table" w:customStyle="1" w:styleId="120">
    <w:name w:val="_Style 128"/>
    <w:basedOn w:val="22"/>
    <w:qFormat/>
    <w:uiPriority w:val="0"/>
    <w:pPr>
      <w:spacing w:after="0" w:line="240" w:lineRule="auto"/>
    </w:pPr>
    <w:tblPr>
      <w:tblCellMar>
        <w:top w:w="0" w:type="dxa"/>
        <w:left w:w="0" w:type="dxa"/>
        <w:bottom w:w="0" w:type="dxa"/>
        <w:right w:w="0" w:type="dxa"/>
      </w:tblCellMar>
    </w:tblPr>
  </w:style>
  <w:style w:type="table" w:customStyle="1" w:styleId="121">
    <w:name w:val="_Style 129"/>
    <w:basedOn w:val="22"/>
    <w:qFormat/>
    <w:uiPriority w:val="0"/>
    <w:pPr>
      <w:spacing w:after="0" w:line="240" w:lineRule="auto"/>
    </w:pPr>
    <w:tblPr>
      <w:tblCellMar>
        <w:top w:w="0" w:type="dxa"/>
        <w:left w:w="0" w:type="dxa"/>
        <w:bottom w:w="0" w:type="dxa"/>
        <w:right w:w="0" w:type="dxa"/>
      </w:tblCellMar>
    </w:tblPr>
  </w:style>
  <w:style w:type="table" w:customStyle="1" w:styleId="122">
    <w:name w:val="_Style 130"/>
    <w:basedOn w:val="22"/>
    <w:qFormat/>
    <w:uiPriority w:val="0"/>
    <w:pPr>
      <w:spacing w:after="0" w:line="240" w:lineRule="auto"/>
    </w:pPr>
    <w:tblPr>
      <w:tblCellMar>
        <w:top w:w="0" w:type="dxa"/>
        <w:left w:w="0" w:type="dxa"/>
        <w:bottom w:w="0" w:type="dxa"/>
        <w:right w:w="0" w:type="dxa"/>
      </w:tblCellMar>
    </w:tblPr>
  </w:style>
  <w:style w:type="table" w:customStyle="1" w:styleId="123">
    <w:name w:val="_Style 131"/>
    <w:basedOn w:val="22"/>
    <w:qFormat/>
    <w:uiPriority w:val="0"/>
    <w:pPr>
      <w:spacing w:after="0" w:line="240" w:lineRule="auto"/>
    </w:pPr>
    <w:tblPr>
      <w:tblCellMar>
        <w:top w:w="0" w:type="dxa"/>
        <w:left w:w="0" w:type="dxa"/>
        <w:bottom w:w="0" w:type="dxa"/>
        <w:right w:w="0" w:type="dxa"/>
      </w:tblCellMar>
    </w:tblPr>
  </w:style>
  <w:style w:type="table" w:customStyle="1" w:styleId="124">
    <w:name w:val="_Style 132"/>
    <w:basedOn w:val="22"/>
    <w:qFormat/>
    <w:uiPriority w:val="0"/>
    <w:pPr>
      <w:spacing w:after="0" w:line="240" w:lineRule="auto"/>
    </w:pPr>
    <w:tblPr>
      <w:tblCellMar>
        <w:top w:w="0" w:type="dxa"/>
        <w:left w:w="0" w:type="dxa"/>
        <w:bottom w:w="0" w:type="dxa"/>
        <w:right w:w="0" w:type="dxa"/>
      </w:tblCellMar>
    </w:tblPr>
  </w:style>
  <w:style w:type="table" w:customStyle="1" w:styleId="125">
    <w:name w:val="_Style 133"/>
    <w:basedOn w:val="22"/>
    <w:qFormat/>
    <w:uiPriority w:val="0"/>
    <w:pPr>
      <w:spacing w:after="0" w:line="240" w:lineRule="auto"/>
    </w:pPr>
    <w:tblPr>
      <w:tblCellMar>
        <w:top w:w="0" w:type="dxa"/>
        <w:left w:w="0" w:type="dxa"/>
        <w:bottom w:w="0" w:type="dxa"/>
        <w:right w:w="0" w:type="dxa"/>
      </w:tblCellMar>
    </w:tblPr>
  </w:style>
  <w:style w:type="table" w:customStyle="1" w:styleId="126">
    <w:name w:val="_Style 134"/>
    <w:basedOn w:val="22"/>
    <w:qFormat/>
    <w:uiPriority w:val="0"/>
    <w:pPr>
      <w:spacing w:after="0" w:line="240" w:lineRule="auto"/>
    </w:pPr>
    <w:tblPr>
      <w:tblCellMar>
        <w:top w:w="0" w:type="dxa"/>
        <w:left w:w="0" w:type="dxa"/>
        <w:bottom w:w="0" w:type="dxa"/>
        <w:right w:w="0" w:type="dxa"/>
      </w:tblCellMar>
    </w:tblPr>
  </w:style>
  <w:style w:type="table" w:customStyle="1" w:styleId="127">
    <w:name w:val="_Style 135"/>
    <w:basedOn w:val="22"/>
    <w:qFormat/>
    <w:uiPriority w:val="0"/>
    <w:pPr>
      <w:spacing w:after="0" w:line="240" w:lineRule="auto"/>
    </w:pPr>
    <w:tblPr>
      <w:tblCellMar>
        <w:top w:w="0" w:type="dxa"/>
        <w:left w:w="0" w:type="dxa"/>
        <w:bottom w:w="0" w:type="dxa"/>
        <w:right w:w="0" w:type="dxa"/>
      </w:tblCellMar>
    </w:tblPr>
  </w:style>
  <w:style w:type="table" w:customStyle="1" w:styleId="128">
    <w:name w:val="_Style 136"/>
    <w:basedOn w:val="22"/>
    <w:qFormat/>
    <w:uiPriority w:val="0"/>
    <w:pPr>
      <w:spacing w:after="0" w:line="240" w:lineRule="auto"/>
    </w:pPr>
    <w:tblPr>
      <w:tblCellMar>
        <w:top w:w="0" w:type="dxa"/>
        <w:left w:w="0" w:type="dxa"/>
        <w:bottom w:w="0" w:type="dxa"/>
        <w:right w:w="0" w:type="dxa"/>
      </w:tblCellMar>
    </w:tblPr>
  </w:style>
  <w:style w:type="table" w:customStyle="1" w:styleId="129">
    <w:name w:val="_Style 137"/>
    <w:basedOn w:val="22"/>
    <w:qFormat/>
    <w:uiPriority w:val="0"/>
    <w:pPr>
      <w:spacing w:after="0" w:line="240" w:lineRule="auto"/>
    </w:pPr>
    <w:tblPr>
      <w:tblCellMar>
        <w:top w:w="0" w:type="dxa"/>
        <w:left w:w="108" w:type="dxa"/>
        <w:bottom w:w="0" w:type="dxa"/>
        <w:right w:w="108" w:type="dxa"/>
      </w:tblCellMar>
    </w:tblPr>
  </w:style>
  <w:style w:type="table" w:customStyle="1" w:styleId="130">
    <w:name w:val="_Style 138"/>
    <w:basedOn w:val="22"/>
    <w:qFormat/>
    <w:uiPriority w:val="0"/>
    <w:pPr>
      <w:spacing w:after="0" w:line="240" w:lineRule="auto"/>
    </w:pPr>
    <w:tblPr>
      <w:tblCellMar>
        <w:top w:w="0" w:type="dxa"/>
        <w:left w:w="0" w:type="dxa"/>
        <w:bottom w:w="0" w:type="dxa"/>
        <w:right w:w="0" w:type="dxa"/>
      </w:tblCellMar>
    </w:tblPr>
  </w:style>
  <w:style w:type="table" w:customStyle="1" w:styleId="131">
    <w:name w:val="_Style 139"/>
    <w:basedOn w:val="22"/>
    <w:qFormat/>
    <w:uiPriority w:val="0"/>
    <w:pPr>
      <w:spacing w:after="0" w:line="240" w:lineRule="auto"/>
    </w:pPr>
    <w:tblPr>
      <w:tblCellMar>
        <w:top w:w="0" w:type="dxa"/>
        <w:left w:w="0" w:type="dxa"/>
        <w:bottom w:w="0" w:type="dxa"/>
        <w:right w:w="108" w:type="dxa"/>
      </w:tblCellMar>
    </w:tblPr>
  </w:style>
  <w:style w:type="table" w:customStyle="1" w:styleId="132">
    <w:name w:val="_Style 140"/>
    <w:basedOn w:val="22"/>
    <w:qFormat/>
    <w:uiPriority w:val="0"/>
    <w:pPr>
      <w:spacing w:after="0" w:line="240" w:lineRule="auto"/>
    </w:pPr>
    <w:tblPr>
      <w:tblCellMar>
        <w:top w:w="0" w:type="dxa"/>
        <w:left w:w="0" w:type="dxa"/>
        <w:bottom w:w="0" w:type="dxa"/>
        <w:right w:w="0" w:type="dxa"/>
      </w:tblCellMar>
    </w:tblPr>
  </w:style>
  <w:style w:type="table" w:customStyle="1" w:styleId="133">
    <w:name w:val="_Style 141"/>
    <w:basedOn w:val="22"/>
    <w:qFormat/>
    <w:uiPriority w:val="0"/>
    <w:pPr>
      <w:spacing w:after="0" w:line="240" w:lineRule="auto"/>
    </w:pPr>
    <w:tblPr>
      <w:tblCellMar>
        <w:top w:w="0" w:type="dxa"/>
        <w:left w:w="0" w:type="dxa"/>
        <w:bottom w:w="0" w:type="dxa"/>
        <w:right w:w="0" w:type="dxa"/>
      </w:tblCellMar>
    </w:tblPr>
  </w:style>
  <w:style w:type="table" w:customStyle="1" w:styleId="134">
    <w:name w:val="_Style 142"/>
    <w:basedOn w:val="22"/>
    <w:qFormat/>
    <w:uiPriority w:val="0"/>
    <w:pPr>
      <w:spacing w:after="0" w:line="240" w:lineRule="auto"/>
    </w:pPr>
    <w:tblPr>
      <w:tblCellMar>
        <w:top w:w="0" w:type="dxa"/>
        <w:left w:w="0" w:type="dxa"/>
        <w:bottom w:w="0" w:type="dxa"/>
        <w:right w:w="0" w:type="dxa"/>
      </w:tblCellMar>
    </w:tblPr>
  </w:style>
  <w:style w:type="table" w:customStyle="1" w:styleId="135">
    <w:name w:val="_Style 143"/>
    <w:basedOn w:val="22"/>
    <w:qFormat/>
    <w:uiPriority w:val="0"/>
    <w:pPr>
      <w:spacing w:after="0" w:line="240" w:lineRule="auto"/>
    </w:pPr>
    <w:tblPr>
      <w:tblCellMar>
        <w:top w:w="0" w:type="dxa"/>
        <w:left w:w="0" w:type="dxa"/>
        <w:bottom w:w="0" w:type="dxa"/>
        <w:right w:w="108" w:type="dxa"/>
      </w:tblCellMar>
    </w:tblPr>
  </w:style>
  <w:style w:type="table" w:customStyle="1" w:styleId="136">
    <w:name w:val="_Style 144"/>
    <w:basedOn w:val="22"/>
    <w:qFormat/>
    <w:uiPriority w:val="0"/>
    <w:pPr>
      <w:spacing w:after="0" w:line="240" w:lineRule="auto"/>
    </w:pPr>
    <w:tblPr>
      <w:tblCellMar>
        <w:top w:w="0" w:type="dxa"/>
        <w:left w:w="0" w:type="dxa"/>
        <w:bottom w:w="0" w:type="dxa"/>
        <w:right w:w="0" w:type="dxa"/>
      </w:tblCellMar>
    </w:tblPr>
  </w:style>
  <w:style w:type="table" w:customStyle="1" w:styleId="137">
    <w:name w:val="_Style 145"/>
    <w:basedOn w:val="22"/>
    <w:qFormat/>
    <w:uiPriority w:val="0"/>
    <w:pPr>
      <w:spacing w:after="0" w:line="240" w:lineRule="auto"/>
    </w:pPr>
    <w:tblPr>
      <w:tblCellMar>
        <w:top w:w="0" w:type="dxa"/>
        <w:left w:w="0" w:type="dxa"/>
        <w:bottom w:w="0" w:type="dxa"/>
        <w:right w:w="0" w:type="dxa"/>
      </w:tblCellMar>
    </w:tblPr>
  </w:style>
  <w:style w:type="table" w:customStyle="1" w:styleId="138">
    <w:name w:val="_Style 146"/>
    <w:basedOn w:val="22"/>
    <w:qFormat/>
    <w:uiPriority w:val="0"/>
    <w:pPr>
      <w:spacing w:after="0" w:line="240" w:lineRule="auto"/>
    </w:pPr>
    <w:tblPr>
      <w:tblCellMar>
        <w:top w:w="0" w:type="dxa"/>
        <w:left w:w="0" w:type="dxa"/>
        <w:bottom w:w="0" w:type="dxa"/>
        <w:right w:w="0" w:type="dxa"/>
      </w:tblCellMar>
    </w:tblPr>
  </w:style>
  <w:style w:type="table" w:customStyle="1" w:styleId="139">
    <w:name w:val="_Style 147"/>
    <w:basedOn w:val="22"/>
    <w:qFormat/>
    <w:uiPriority w:val="0"/>
    <w:pPr>
      <w:spacing w:after="0" w:line="240" w:lineRule="auto"/>
    </w:pPr>
    <w:tblPr>
      <w:tblCellMar>
        <w:top w:w="0" w:type="dxa"/>
        <w:left w:w="0" w:type="dxa"/>
        <w:bottom w:w="0" w:type="dxa"/>
        <w:right w:w="0" w:type="dxa"/>
      </w:tblCellMar>
    </w:tblPr>
  </w:style>
  <w:style w:type="table" w:customStyle="1" w:styleId="140">
    <w:name w:val="_Style 148"/>
    <w:basedOn w:val="22"/>
    <w:qFormat/>
    <w:uiPriority w:val="0"/>
    <w:pPr>
      <w:spacing w:after="0" w:line="240" w:lineRule="auto"/>
    </w:pPr>
    <w:tblPr>
      <w:tblCellMar>
        <w:top w:w="0" w:type="dxa"/>
        <w:left w:w="0" w:type="dxa"/>
        <w:bottom w:w="0" w:type="dxa"/>
        <w:right w:w="0" w:type="dxa"/>
      </w:tblCellMar>
    </w:tblPr>
  </w:style>
  <w:style w:type="table" w:customStyle="1" w:styleId="141">
    <w:name w:val="_Style 149"/>
    <w:basedOn w:val="22"/>
    <w:qFormat/>
    <w:uiPriority w:val="0"/>
    <w:pPr>
      <w:spacing w:after="0" w:line="240" w:lineRule="auto"/>
    </w:pPr>
    <w:tblPr>
      <w:tblCellMar>
        <w:top w:w="0" w:type="dxa"/>
        <w:left w:w="0" w:type="dxa"/>
        <w:bottom w:w="0" w:type="dxa"/>
        <w:right w:w="0" w:type="dxa"/>
      </w:tblCellMar>
    </w:tblPr>
  </w:style>
  <w:style w:type="table" w:customStyle="1" w:styleId="142">
    <w:name w:val="_Style 150"/>
    <w:basedOn w:val="22"/>
    <w:qFormat/>
    <w:uiPriority w:val="0"/>
    <w:pPr>
      <w:spacing w:after="0" w:line="240" w:lineRule="auto"/>
    </w:pPr>
    <w:tblPr>
      <w:tblCellMar>
        <w:top w:w="0" w:type="dxa"/>
        <w:left w:w="0" w:type="dxa"/>
        <w:bottom w:w="0" w:type="dxa"/>
        <w:right w:w="0" w:type="dxa"/>
      </w:tblCellMar>
    </w:tblPr>
  </w:style>
  <w:style w:type="table" w:customStyle="1" w:styleId="143">
    <w:name w:val="_Style 151"/>
    <w:basedOn w:val="22"/>
    <w:qFormat/>
    <w:uiPriority w:val="0"/>
    <w:pPr>
      <w:spacing w:after="0" w:line="240" w:lineRule="auto"/>
    </w:pPr>
    <w:tblPr>
      <w:tblCellMar>
        <w:top w:w="0" w:type="dxa"/>
        <w:left w:w="0" w:type="dxa"/>
        <w:bottom w:w="0" w:type="dxa"/>
        <w:right w:w="0" w:type="dxa"/>
      </w:tblCellMar>
    </w:tblPr>
  </w:style>
  <w:style w:type="table" w:customStyle="1" w:styleId="144">
    <w:name w:val="_Style 152"/>
    <w:basedOn w:val="22"/>
    <w:qFormat/>
    <w:uiPriority w:val="0"/>
    <w:pPr>
      <w:spacing w:after="0" w:line="240" w:lineRule="auto"/>
    </w:pPr>
    <w:tblPr>
      <w:tblCellMar>
        <w:top w:w="0" w:type="dxa"/>
        <w:left w:w="0" w:type="dxa"/>
        <w:bottom w:w="0" w:type="dxa"/>
        <w:right w:w="0" w:type="dxa"/>
      </w:tblCellMar>
    </w:tblPr>
  </w:style>
  <w:style w:type="table" w:customStyle="1" w:styleId="145">
    <w:name w:val="_Style 153"/>
    <w:basedOn w:val="22"/>
    <w:qFormat/>
    <w:uiPriority w:val="0"/>
    <w:pPr>
      <w:spacing w:after="0" w:line="240" w:lineRule="auto"/>
    </w:pPr>
    <w:tblPr>
      <w:tblCellMar>
        <w:top w:w="0" w:type="dxa"/>
        <w:left w:w="0" w:type="dxa"/>
        <w:bottom w:w="0" w:type="dxa"/>
        <w:right w:w="0" w:type="dxa"/>
      </w:tblCellMar>
    </w:tblPr>
  </w:style>
  <w:style w:type="table" w:customStyle="1" w:styleId="146">
    <w:name w:val="_Style 154"/>
    <w:basedOn w:val="22"/>
    <w:qFormat/>
    <w:uiPriority w:val="0"/>
    <w:pPr>
      <w:spacing w:after="0" w:line="240" w:lineRule="auto"/>
    </w:pPr>
    <w:tblPr>
      <w:tblCellMar>
        <w:top w:w="0" w:type="dxa"/>
        <w:left w:w="0" w:type="dxa"/>
        <w:bottom w:w="0" w:type="dxa"/>
        <w:right w:w="0" w:type="dxa"/>
      </w:tblCellMar>
    </w:tblPr>
  </w:style>
  <w:style w:type="table" w:customStyle="1" w:styleId="147">
    <w:name w:val="_Style 155"/>
    <w:basedOn w:val="22"/>
    <w:qFormat/>
    <w:uiPriority w:val="0"/>
    <w:pPr>
      <w:spacing w:after="0" w:line="240" w:lineRule="auto"/>
    </w:pPr>
    <w:tblPr>
      <w:tblCellMar>
        <w:top w:w="0" w:type="dxa"/>
        <w:left w:w="0" w:type="dxa"/>
        <w:bottom w:w="0" w:type="dxa"/>
        <w:right w:w="0" w:type="dxa"/>
      </w:tblCellMar>
    </w:tblPr>
  </w:style>
  <w:style w:type="table" w:customStyle="1" w:styleId="148">
    <w:name w:val="_Style 156"/>
    <w:basedOn w:val="22"/>
    <w:qFormat/>
    <w:uiPriority w:val="0"/>
    <w:pPr>
      <w:spacing w:after="0" w:line="240" w:lineRule="auto"/>
    </w:pPr>
    <w:tblPr>
      <w:tblCellMar>
        <w:top w:w="0" w:type="dxa"/>
        <w:left w:w="0" w:type="dxa"/>
        <w:bottom w:w="0" w:type="dxa"/>
        <w:right w:w="0" w:type="dxa"/>
      </w:tblCellMar>
    </w:tblPr>
  </w:style>
  <w:style w:type="table" w:customStyle="1" w:styleId="149">
    <w:name w:val="_Style 157"/>
    <w:basedOn w:val="22"/>
    <w:qFormat/>
    <w:uiPriority w:val="0"/>
    <w:pPr>
      <w:spacing w:after="0" w:line="240" w:lineRule="auto"/>
    </w:pPr>
    <w:tblPr>
      <w:tblCellMar>
        <w:top w:w="0" w:type="dxa"/>
        <w:left w:w="0" w:type="dxa"/>
        <w:bottom w:w="0" w:type="dxa"/>
        <w:right w:w="0" w:type="dxa"/>
      </w:tblCellMar>
    </w:tblPr>
  </w:style>
  <w:style w:type="table" w:customStyle="1" w:styleId="150">
    <w:name w:val="_Style 158"/>
    <w:basedOn w:val="22"/>
    <w:qFormat/>
    <w:uiPriority w:val="0"/>
    <w:pPr>
      <w:spacing w:after="0" w:line="240" w:lineRule="auto"/>
    </w:pPr>
    <w:tblPr>
      <w:tblCellMar>
        <w:top w:w="0" w:type="dxa"/>
        <w:left w:w="0" w:type="dxa"/>
        <w:bottom w:w="0" w:type="dxa"/>
        <w:right w:w="0" w:type="dxa"/>
      </w:tblCellMar>
    </w:tblPr>
  </w:style>
  <w:style w:type="table" w:customStyle="1" w:styleId="151">
    <w:name w:val="_Style 159"/>
    <w:basedOn w:val="22"/>
    <w:qFormat/>
    <w:uiPriority w:val="0"/>
    <w:pPr>
      <w:spacing w:after="0" w:line="240" w:lineRule="auto"/>
    </w:pPr>
    <w:tblPr>
      <w:tblCellMar>
        <w:top w:w="0" w:type="dxa"/>
        <w:left w:w="0" w:type="dxa"/>
        <w:bottom w:w="0" w:type="dxa"/>
        <w:right w:w="0" w:type="dxa"/>
      </w:tblCellMar>
    </w:tblPr>
  </w:style>
  <w:style w:type="table" w:customStyle="1" w:styleId="152">
    <w:name w:val="_Style 160"/>
    <w:basedOn w:val="22"/>
    <w:qFormat/>
    <w:uiPriority w:val="0"/>
    <w:pPr>
      <w:spacing w:after="0" w:line="240" w:lineRule="auto"/>
    </w:pPr>
    <w:tblPr>
      <w:tblCellMar>
        <w:top w:w="0" w:type="dxa"/>
        <w:left w:w="0" w:type="dxa"/>
        <w:bottom w:w="0" w:type="dxa"/>
        <w:right w:w="0" w:type="dxa"/>
      </w:tblCellMar>
    </w:tblPr>
  </w:style>
  <w:style w:type="table" w:customStyle="1" w:styleId="153">
    <w:name w:val="_Style 161"/>
    <w:basedOn w:val="22"/>
    <w:qFormat/>
    <w:uiPriority w:val="0"/>
    <w:pPr>
      <w:spacing w:after="0" w:line="240" w:lineRule="auto"/>
    </w:pPr>
    <w:tblPr>
      <w:tblCellMar>
        <w:top w:w="0" w:type="dxa"/>
        <w:left w:w="0" w:type="dxa"/>
        <w:bottom w:w="0" w:type="dxa"/>
        <w:right w:w="0" w:type="dxa"/>
      </w:tblCellMar>
    </w:tblPr>
  </w:style>
  <w:style w:type="table" w:customStyle="1" w:styleId="154">
    <w:name w:val="_Style 162"/>
    <w:basedOn w:val="22"/>
    <w:qFormat/>
    <w:uiPriority w:val="0"/>
    <w:pPr>
      <w:spacing w:after="0" w:line="240" w:lineRule="auto"/>
    </w:pPr>
    <w:tblPr>
      <w:tblCellMar>
        <w:top w:w="0" w:type="dxa"/>
        <w:left w:w="0" w:type="dxa"/>
        <w:bottom w:w="0" w:type="dxa"/>
        <w:right w:w="0" w:type="dxa"/>
      </w:tblCellMar>
    </w:tblPr>
  </w:style>
  <w:style w:type="table" w:customStyle="1" w:styleId="155">
    <w:name w:val="_Style 163"/>
    <w:basedOn w:val="22"/>
    <w:qFormat/>
    <w:uiPriority w:val="0"/>
    <w:pPr>
      <w:spacing w:after="0" w:line="240" w:lineRule="auto"/>
    </w:pPr>
    <w:tblPr>
      <w:tblCellMar>
        <w:top w:w="0" w:type="dxa"/>
        <w:left w:w="0" w:type="dxa"/>
        <w:bottom w:w="0" w:type="dxa"/>
        <w:right w:w="0" w:type="dxa"/>
      </w:tblCellMar>
    </w:tblPr>
  </w:style>
  <w:style w:type="table" w:customStyle="1" w:styleId="156">
    <w:name w:val="_Style 164"/>
    <w:basedOn w:val="22"/>
    <w:qFormat/>
    <w:uiPriority w:val="0"/>
    <w:pPr>
      <w:spacing w:after="0" w:line="240" w:lineRule="auto"/>
    </w:pPr>
    <w:tblPr>
      <w:tblCellMar>
        <w:top w:w="0" w:type="dxa"/>
        <w:left w:w="0" w:type="dxa"/>
        <w:bottom w:w="0" w:type="dxa"/>
        <w:right w:w="0" w:type="dxa"/>
      </w:tblCellMar>
    </w:tblPr>
  </w:style>
  <w:style w:type="table" w:customStyle="1" w:styleId="157">
    <w:name w:val="_Style 165"/>
    <w:basedOn w:val="22"/>
    <w:qFormat/>
    <w:uiPriority w:val="0"/>
    <w:pPr>
      <w:spacing w:after="0" w:line="240" w:lineRule="auto"/>
    </w:pPr>
    <w:tblPr>
      <w:tblCellMar>
        <w:top w:w="0" w:type="dxa"/>
        <w:left w:w="0" w:type="dxa"/>
        <w:bottom w:w="0" w:type="dxa"/>
        <w:right w:w="0" w:type="dxa"/>
      </w:tblCellMar>
    </w:tblPr>
  </w:style>
  <w:style w:type="table" w:customStyle="1" w:styleId="158">
    <w:name w:val="_Style 166"/>
    <w:basedOn w:val="22"/>
    <w:qFormat/>
    <w:uiPriority w:val="0"/>
    <w:pPr>
      <w:spacing w:after="0" w:line="240" w:lineRule="auto"/>
    </w:pPr>
    <w:tblPr>
      <w:tblCellMar>
        <w:top w:w="0" w:type="dxa"/>
        <w:left w:w="0" w:type="dxa"/>
        <w:bottom w:w="0" w:type="dxa"/>
        <w:right w:w="0" w:type="dxa"/>
      </w:tblCellMar>
    </w:tblPr>
  </w:style>
  <w:style w:type="table" w:customStyle="1" w:styleId="159">
    <w:name w:val="_Style 167"/>
    <w:basedOn w:val="22"/>
    <w:qFormat/>
    <w:uiPriority w:val="0"/>
    <w:pPr>
      <w:spacing w:after="0" w:line="240" w:lineRule="auto"/>
    </w:pPr>
    <w:tblPr>
      <w:tblCellMar>
        <w:top w:w="0" w:type="dxa"/>
        <w:left w:w="0" w:type="dxa"/>
        <w:bottom w:w="0" w:type="dxa"/>
        <w:right w:w="0" w:type="dxa"/>
      </w:tblCellMar>
    </w:tblPr>
  </w:style>
  <w:style w:type="table" w:customStyle="1" w:styleId="160">
    <w:name w:val="_Style 168"/>
    <w:basedOn w:val="22"/>
    <w:qFormat/>
    <w:uiPriority w:val="0"/>
    <w:pPr>
      <w:spacing w:after="0" w:line="240" w:lineRule="auto"/>
    </w:pPr>
    <w:tblPr>
      <w:tblCellMar>
        <w:top w:w="0" w:type="dxa"/>
        <w:left w:w="0" w:type="dxa"/>
        <w:bottom w:w="0" w:type="dxa"/>
        <w:right w:w="0" w:type="dxa"/>
      </w:tblCellMar>
    </w:tblPr>
  </w:style>
  <w:style w:type="table" w:customStyle="1" w:styleId="161">
    <w:name w:val="_Style 169"/>
    <w:basedOn w:val="22"/>
    <w:qFormat/>
    <w:uiPriority w:val="0"/>
    <w:pPr>
      <w:spacing w:after="0" w:line="240" w:lineRule="auto"/>
    </w:pPr>
    <w:tblPr>
      <w:tblCellMar>
        <w:top w:w="0" w:type="dxa"/>
        <w:left w:w="0" w:type="dxa"/>
        <w:bottom w:w="0" w:type="dxa"/>
        <w:right w:w="0" w:type="dxa"/>
      </w:tblCellMar>
    </w:tblPr>
  </w:style>
  <w:style w:type="table" w:customStyle="1" w:styleId="162">
    <w:name w:val="_Style 170"/>
    <w:basedOn w:val="22"/>
    <w:qFormat/>
    <w:uiPriority w:val="0"/>
    <w:pPr>
      <w:spacing w:after="0" w:line="240" w:lineRule="auto"/>
    </w:pPr>
    <w:tblPr>
      <w:tblCellMar>
        <w:top w:w="0" w:type="dxa"/>
        <w:left w:w="0" w:type="dxa"/>
        <w:bottom w:w="0" w:type="dxa"/>
        <w:right w:w="0" w:type="dxa"/>
      </w:tblCellMar>
    </w:tblPr>
  </w:style>
  <w:style w:type="table" w:customStyle="1" w:styleId="163">
    <w:name w:val="_Style 171"/>
    <w:basedOn w:val="22"/>
    <w:qFormat/>
    <w:uiPriority w:val="0"/>
    <w:pPr>
      <w:spacing w:after="0" w:line="240" w:lineRule="auto"/>
    </w:pPr>
    <w:tblPr>
      <w:tblCellMar>
        <w:top w:w="0" w:type="dxa"/>
        <w:left w:w="0" w:type="dxa"/>
        <w:bottom w:w="0" w:type="dxa"/>
        <w:right w:w="0" w:type="dxa"/>
      </w:tblCellMar>
    </w:tblPr>
  </w:style>
  <w:style w:type="table" w:customStyle="1" w:styleId="164">
    <w:name w:val="_Style 172"/>
    <w:basedOn w:val="22"/>
    <w:qFormat/>
    <w:uiPriority w:val="0"/>
    <w:pPr>
      <w:spacing w:after="0" w:line="240" w:lineRule="auto"/>
    </w:pPr>
    <w:tblPr>
      <w:tblCellMar>
        <w:top w:w="0" w:type="dxa"/>
        <w:left w:w="0" w:type="dxa"/>
        <w:bottom w:w="0" w:type="dxa"/>
        <w:right w:w="0" w:type="dxa"/>
      </w:tblCellMar>
    </w:tblPr>
  </w:style>
  <w:style w:type="table" w:customStyle="1" w:styleId="165">
    <w:name w:val="_Style 173"/>
    <w:basedOn w:val="22"/>
    <w:qFormat/>
    <w:uiPriority w:val="0"/>
    <w:pPr>
      <w:spacing w:after="0" w:line="240" w:lineRule="auto"/>
    </w:pPr>
    <w:tblPr>
      <w:tblCellMar>
        <w:top w:w="0" w:type="dxa"/>
        <w:left w:w="0" w:type="dxa"/>
        <w:bottom w:w="0" w:type="dxa"/>
        <w:right w:w="0" w:type="dxa"/>
      </w:tblCellMar>
    </w:tblPr>
  </w:style>
  <w:style w:type="table" w:customStyle="1" w:styleId="166">
    <w:name w:val="_Style 174"/>
    <w:basedOn w:val="22"/>
    <w:qFormat/>
    <w:uiPriority w:val="0"/>
    <w:pPr>
      <w:spacing w:after="0" w:line="240" w:lineRule="auto"/>
    </w:pPr>
    <w:tblPr>
      <w:tblCellMar>
        <w:top w:w="0" w:type="dxa"/>
        <w:left w:w="0" w:type="dxa"/>
        <w:bottom w:w="0" w:type="dxa"/>
        <w:right w:w="0" w:type="dxa"/>
      </w:tblCellMar>
    </w:tblPr>
  </w:style>
  <w:style w:type="table" w:customStyle="1" w:styleId="167">
    <w:name w:val="_Style 175"/>
    <w:basedOn w:val="22"/>
    <w:qFormat/>
    <w:uiPriority w:val="0"/>
    <w:pPr>
      <w:spacing w:after="0" w:line="240" w:lineRule="auto"/>
    </w:pPr>
    <w:tblPr>
      <w:tblCellMar>
        <w:top w:w="0" w:type="dxa"/>
        <w:left w:w="0" w:type="dxa"/>
        <w:bottom w:w="0" w:type="dxa"/>
        <w:right w:w="0" w:type="dxa"/>
      </w:tblCellMar>
    </w:tblPr>
  </w:style>
  <w:style w:type="table" w:customStyle="1" w:styleId="168">
    <w:name w:val="_Style 176"/>
    <w:basedOn w:val="22"/>
    <w:qFormat/>
    <w:uiPriority w:val="0"/>
    <w:pPr>
      <w:spacing w:after="0" w:line="240" w:lineRule="auto"/>
    </w:pPr>
    <w:tblPr>
      <w:tblCellMar>
        <w:top w:w="0" w:type="dxa"/>
        <w:left w:w="0" w:type="dxa"/>
        <w:bottom w:w="0" w:type="dxa"/>
        <w:right w:w="0" w:type="dxa"/>
      </w:tblCellMar>
    </w:tblPr>
  </w:style>
  <w:style w:type="table" w:customStyle="1" w:styleId="169">
    <w:name w:val="_Style 177"/>
    <w:basedOn w:val="22"/>
    <w:qFormat/>
    <w:uiPriority w:val="0"/>
    <w:pPr>
      <w:spacing w:after="0" w:line="240" w:lineRule="auto"/>
    </w:pPr>
    <w:tblPr>
      <w:tblCellMar>
        <w:top w:w="0" w:type="dxa"/>
        <w:left w:w="0" w:type="dxa"/>
        <w:bottom w:w="0" w:type="dxa"/>
        <w:right w:w="0" w:type="dxa"/>
      </w:tblCellMar>
    </w:tblPr>
  </w:style>
  <w:style w:type="table" w:customStyle="1" w:styleId="170">
    <w:name w:val="_Style 178"/>
    <w:basedOn w:val="22"/>
    <w:qFormat/>
    <w:uiPriority w:val="0"/>
    <w:pPr>
      <w:spacing w:after="0" w:line="240" w:lineRule="auto"/>
    </w:pPr>
    <w:tblPr>
      <w:tblCellMar>
        <w:top w:w="0" w:type="dxa"/>
        <w:left w:w="0" w:type="dxa"/>
        <w:bottom w:w="0" w:type="dxa"/>
        <w:right w:w="0" w:type="dxa"/>
      </w:tblCellMar>
    </w:tblPr>
  </w:style>
  <w:style w:type="table" w:customStyle="1" w:styleId="171">
    <w:name w:val="_Style 179"/>
    <w:basedOn w:val="22"/>
    <w:qFormat/>
    <w:uiPriority w:val="0"/>
    <w:pPr>
      <w:spacing w:after="0" w:line="240" w:lineRule="auto"/>
    </w:pPr>
    <w:tblPr>
      <w:tblCellMar>
        <w:top w:w="0" w:type="dxa"/>
        <w:left w:w="0" w:type="dxa"/>
        <w:bottom w:w="0" w:type="dxa"/>
        <w:right w:w="0" w:type="dxa"/>
      </w:tblCellMar>
    </w:tblPr>
  </w:style>
  <w:style w:type="table" w:customStyle="1" w:styleId="172">
    <w:name w:val="_Style 180"/>
    <w:basedOn w:val="22"/>
    <w:qFormat/>
    <w:uiPriority w:val="0"/>
    <w:pPr>
      <w:spacing w:after="0" w:line="240" w:lineRule="auto"/>
    </w:pPr>
    <w:tblPr>
      <w:tblCellMar>
        <w:top w:w="0" w:type="dxa"/>
        <w:left w:w="0" w:type="dxa"/>
        <w:bottom w:w="0" w:type="dxa"/>
        <w:right w:w="0" w:type="dxa"/>
      </w:tblCellMar>
    </w:tblPr>
  </w:style>
  <w:style w:type="table" w:customStyle="1" w:styleId="173">
    <w:name w:val="_Style 181"/>
    <w:basedOn w:val="22"/>
    <w:qFormat/>
    <w:uiPriority w:val="0"/>
    <w:pPr>
      <w:spacing w:after="0" w:line="240" w:lineRule="auto"/>
    </w:pPr>
    <w:tblPr>
      <w:tblCellMar>
        <w:top w:w="0" w:type="dxa"/>
        <w:left w:w="0" w:type="dxa"/>
        <w:bottom w:w="0" w:type="dxa"/>
        <w:right w:w="0" w:type="dxa"/>
      </w:tblCellMar>
    </w:tblPr>
  </w:style>
  <w:style w:type="table" w:customStyle="1" w:styleId="174">
    <w:name w:val="_Style 182"/>
    <w:basedOn w:val="22"/>
    <w:qFormat/>
    <w:uiPriority w:val="0"/>
    <w:pPr>
      <w:spacing w:after="0" w:line="240" w:lineRule="auto"/>
    </w:pPr>
    <w:tblPr>
      <w:tblCellMar>
        <w:top w:w="0" w:type="dxa"/>
        <w:left w:w="0" w:type="dxa"/>
        <w:bottom w:w="0" w:type="dxa"/>
        <w:right w:w="0" w:type="dxa"/>
      </w:tblCellMar>
    </w:tblPr>
  </w:style>
  <w:style w:type="table" w:customStyle="1" w:styleId="175">
    <w:name w:val="_Style 183"/>
    <w:basedOn w:val="22"/>
    <w:qFormat/>
    <w:uiPriority w:val="0"/>
    <w:pPr>
      <w:spacing w:after="0" w:line="240" w:lineRule="auto"/>
    </w:pPr>
    <w:tblPr>
      <w:tblCellMar>
        <w:top w:w="0" w:type="dxa"/>
        <w:left w:w="0" w:type="dxa"/>
        <w:bottom w:w="0" w:type="dxa"/>
        <w:right w:w="0" w:type="dxa"/>
      </w:tblCellMar>
    </w:tblPr>
  </w:style>
  <w:style w:type="table" w:customStyle="1" w:styleId="176">
    <w:name w:val="_Style 184"/>
    <w:basedOn w:val="22"/>
    <w:qFormat/>
    <w:uiPriority w:val="0"/>
    <w:pPr>
      <w:spacing w:after="0" w:line="240" w:lineRule="auto"/>
    </w:pPr>
    <w:tblPr>
      <w:tblCellMar>
        <w:top w:w="0" w:type="dxa"/>
        <w:left w:w="0" w:type="dxa"/>
        <w:bottom w:w="0" w:type="dxa"/>
        <w:right w:w="0" w:type="dxa"/>
      </w:tblCellMar>
    </w:tblPr>
  </w:style>
  <w:style w:type="table" w:customStyle="1" w:styleId="177">
    <w:name w:val="_Style 185"/>
    <w:basedOn w:val="22"/>
    <w:qFormat/>
    <w:uiPriority w:val="0"/>
    <w:pPr>
      <w:spacing w:after="0" w:line="240" w:lineRule="auto"/>
    </w:pPr>
    <w:tblPr>
      <w:tblCellMar>
        <w:top w:w="0" w:type="dxa"/>
        <w:left w:w="0" w:type="dxa"/>
        <w:bottom w:w="0" w:type="dxa"/>
        <w:right w:w="0" w:type="dxa"/>
      </w:tblCellMar>
    </w:tblPr>
  </w:style>
  <w:style w:type="table" w:customStyle="1" w:styleId="178">
    <w:name w:val="_Style 186"/>
    <w:basedOn w:val="22"/>
    <w:qFormat/>
    <w:uiPriority w:val="0"/>
    <w:pPr>
      <w:spacing w:after="0" w:line="240" w:lineRule="auto"/>
    </w:pPr>
    <w:tblPr>
      <w:tblCellMar>
        <w:top w:w="0" w:type="dxa"/>
        <w:left w:w="0" w:type="dxa"/>
        <w:bottom w:w="0" w:type="dxa"/>
        <w:right w:w="0" w:type="dxa"/>
      </w:tblCellMar>
    </w:tblPr>
  </w:style>
  <w:style w:type="table" w:customStyle="1" w:styleId="179">
    <w:name w:val="_Style 187"/>
    <w:basedOn w:val="22"/>
    <w:qFormat/>
    <w:uiPriority w:val="0"/>
    <w:pPr>
      <w:spacing w:after="0" w:line="240" w:lineRule="auto"/>
    </w:pPr>
    <w:tblPr>
      <w:tblCellMar>
        <w:top w:w="0" w:type="dxa"/>
        <w:left w:w="0" w:type="dxa"/>
        <w:bottom w:w="0" w:type="dxa"/>
        <w:right w:w="0" w:type="dxa"/>
      </w:tblCellMar>
    </w:tblPr>
  </w:style>
  <w:style w:type="table" w:customStyle="1" w:styleId="180">
    <w:name w:val="_Style 188"/>
    <w:basedOn w:val="22"/>
    <w:qFormat/>
    <w:uiPriority w:val="0"/>
    <w:pPr>
      <w:spacing w:after="0" w:line="240" w:lineRule="auto"/>
    </w:pPr>
    <w:tblPr>
      <w:tblCellMar>
        <w:top w:w="0" w:type="dxa"/>
        <w:left w:w="0" w:type="dxa"/>
        <w:bottom w:w="0" w:type="dxa"/>
        <w:right w:w="0" w:type="dxa"/>
      </w:tblCellMar>
    </w:tblPr>
  </w:style>
  <w:style w:type="table" w:customStyle="1" w:styleId="181">
    <w:name w:val="_Style 189"/>
    <w:basedOn w:val="22"/>
    <w:qFormat/>
    <w:uiPriority w:val="0"/>
    <w:pPr>
      <w:spacing w:after="0" w:line="240" w:lineRule="auto"/>
    </w:pPr>
    <w:tblPr>
      <w:tblCellMar>
        <w:top w:w="0" w:type="dxa"/>
        <w:left w:w="108" w:type="dxa"/>
        <w:bottom w:w="0" w:type="dxa"/>
        <w:right w:w="108" w:type="dxa"/>
      </w:tblCellMar>
    </w:tblPr>
  </w:style>
  <w:style w:type="table" w:customStyle="1" w:styleId="182">
    <w:name w:val="_Style 190"/>
    <w:basedOn w:val="22"/>
    <w:qFormat/>
    <w:uiPriority w:val="0"/>
    <w:pPr>
      <w:spacing w:after="0" w:line="240" w:lineRule="auto"/>
    </w:pPr>
    <w:tblPr>
      <w:tblCellMar>
        <w:top w:w="0" w:type="dxa"/>
        <w:left w:w="108" w:type="dxa"/>
        <w:bottom w:w="0" w:type="dxa"/>
        <w:right w:w="108" w:type="dxa"/>
      </w:tblCellMar>
    </w:tblPr>
  </w:style>
  <w:style w:type="table" w:customStyle="1" w:styleId="183">
    <w:name w:val="_Style 191"/>
    <w:basedOn w:val="22"/>
    <w:qFormat/>
    <w:uiPriority w:val="0"/>
    <w:pPr>
      <w:spacing w:after="0" w:line="240" w:lineRule="auto"/>
    </w:pPr>
    <w:tblPr>
      <w:tblCellMar>
        <w:top w:w="0" w:type="dxa"/>
        <w:left w:w="108" w:type="dxa"/>
        <w:bottom w:w="0" w:type="dxa"/>
        <w:right w:w="108" w:type="dxa"/>
      </w:tblCellMar>
    </w:tblPr>
  </w:style>
  <w:style w:type="table" w:customStyle="1" w:styleId="184">
    <w:name w:val="_Style 192"/>
    <w:basedOn w:val="22"/>
    <w:qFormat/>
    <w:uiPriority w:val="0"/>
    <w:pPr>
      <w:spacing w:after="0" w:line="240" w:lineRule="auto"/>
    </w:pPr>
    <w:tblPr>
      <w:tblCellMar>
        <w:top w:w="0" w:type="dxa"/>
        <w:left w:w="108" w:type="dxa"/>
        <w:bottom w:w="0" w:type="dxa"/>
        <w:right w:w="108" w:type="dxa"/>
      </w:tblCellMar>
    </w:tblPr>
  </w:style>
  <w:style w:type="table" w:customStyle="1" w:styleId="185">
    <w:name w:val="_Style 193"/>
    <w:basedOn w:val="22"/>
    <w:qFormat/>
    <w:uiPriority w:val="0"/>
    <w:pPr>
      <w:spacing w:after="0" w:line="240" w:lineRule="auto"/>
    </w:pPr>
    <w:tblPr>
      <w:tblCellMar>
        <w:top w:w="0" w:type="dxa"/>
        <w:left w:w="108" w:type="dxa"/>
        <w:bottom w:w="0" w:type="dxa"/>
        <w:right w:w="108" w:type="dxa"/>
      </w:tblCellMar>
    </w:tblPr>
  </w:style>
  <w:style w:type="table" w:customStyle="1" w:styleId="186">
    <w:name w:val="_Style 194"/>
    <w:basedOn w:val="22"/>
    <w:qFormat/>
    <w:uiPriority w:val="0"/>
    <w:pPr>
      <w:spacing w:after="0" w:line="240" w:lineRule="auto"/>
    </w:pPr>
    <w:tblPr>
      <w:tblCellMar>
        <w:top w:w="0" w:type="dxa"/>
        <w:left w:w="108" w:type="dxa"/>
        <w:bottom w:w="0" w:type="dxa"/>
        <w:right w:w="108" w:type="dxa"/>
      </w:tblCellMar>
    </w:tblPr>
  </w:style>
  <w:style w:type="table" w:customStyle="1" w:styleId="187">
    <w:name w:val="_Style 195"/>
    <w:basedOn w:val="22"/>
    <w:qFormat/>
    <w:uiPriority w:val="0"/>
    <w:pPr>
      <w:spacing w:after="0" w:line="240" w:lineRule="auto"/>
    </w:pPr>
    <w:tblPr>
      <w:tblCellMar>
        <w:top w:w="0" w:type="dxa"/>
        <w:left w:w="0" w:type="dxa"/>
        <w:bottom w:w="0" w:type="dxa"/>
        <w:right w:w="0" w:type="dxa"/>
      </w:tblCellMar>
    </w:tblPr>
  </w:style>
  <w:style w:type="table" w:customStyle="1" w:styleId="188">
    <w:name w:val="_Style 196"/>
    <w:basedOn w:val="22"/>
    <w:qFormat/>
    <w:uiPriority w:val="0"/>
    <w:pPr>
      <w:spacing w:after="0" w:line="240" w:lineRule="auto"/>
    </w:pPr>
    <w:tblPr>
      <w:tblCellMar>
        <w:top w:w="0" w:type="dxa"/>
        <w:left w:w="0" w:type="dxa"/>
        <w:bottom w:w="0" w:type="dxa"/>
        <w:right w:w="0" w:type="dxa"/>
      </w:tblCellMar>
    </w:tblPr>
  </w:style>
  <w:style w:type="table" w:customStyle="1" w:styleId="189">
    <w:name w:val="_Style 197"/>
    <w:basedOn w:val="22"/>
    <w:qFormat/>
    <w:uiPriority w:val="0"/>
    <w:pPr>
      <w:spacing w:after="0" w:line="240" w:lineRule="auto"/>
    </w:pPr>
    <w:tblPr>
      <w:tblCellMar>
        <w:top w:w="0" w:type="dxa"/>
        <w:left w:w="0" w:type="dxa"/>
        <w:bottom w:w="0" w:type="dxa"/>
        <w:right w:w="0" w:type="dxa"/>
      </w:tblCellMar>
    </w:tblPr>
  </w:style>
  <w:style w:type="table" w:customStyle="1" w:styleId="190">
    <w:name w:val="_Style 198"/>
    <w:basedOn w:val="22"/>
    <w:qFormat/>
    <w:uiPriority w:val="0"/>
    <w:pPr>
      <w:spacing w:after="0" w:line="240" w:lineRule="auto"/>
    </w:pPr>
    <w:tblPr>
      <w:tblCellMar>
        <w:top w:w="0" w:type="dxa"/>
        <w:left w:w="0" w:type="dxa"/>
        <w:bottom w:w="0" w:type="dxa"/>
        <w:right w:w="0" w:type="dxa"/>
      </w:tblCellMar>
    </w:tblPr>
  </w:style>
  <w:style w:type="table" w:customStyle="1" w:styleId="191">
    <w:name w:val="_Style 199"/>
    <w:basedOn w:val="22"/>
    <w:qFormat/>
    <w:uiPriority w:val="0"/>
    <w:pPr>
      <w:spacing w:after="0" w:line="240" w:lineRule="auto"/>
    </w:pPr>
    <w:tblPr>
      <w:tblCellMar>
        <w:top w:w="0" w:type="dxa"/>
        <w:left w:w="0" w:type="dxa"/>
        <w:bottom w:w="0" w:type="dxa"/>
        <w:right w:w="0" w:type="dxa"/>
      </w:tblCellMar>
    </w:tblPr>
  </w:style>
  <w:style w:type="table" w:customStyle="1" w:styleId="192">
    <w:name w:val="_Style 200"/>
    <w:basedOn w:val="22"/>
    <w:qFormat/>
    <w:uiPriority w:val="0"/>
    <w:pPr>
      <w:spacing w:after="0" w:line="240" w:lineRule="auto"/>
    </w:pPr>
    <w:tblPr>
      <w:tblCellMar>
        <w:top w:w="0" w:type="dxa"/>
        <w:left w:w="0" w:type="dxa"/>
        <w:bottom w:w="0" w:type="dxa"/>
        <w:right w:w="0" w:type="dxa"/>
      </w:tblCellMar>
    </w:tblPr>
  </w:style>
  <w:style w:type="table" w:customStyle="1" w:styleId="193">
    <w:name w:val="_Style 201"/>
    <w:basedOn w:val="22"/>
    <w:qFormat/>
    <w:uiPriority w:val="0"/>
    <w:pPr>
      <w:spacing w:after="0" w:line="240" w:lineRule="auto"/>
    </w:pPr>
    <w:tblPr>
      <w:tblCellMar>
        <w:top w:w="0" w:type="dxa"/>
        <w:left w:w="0" w:type="dxa"/>
        <w:bottom w:w="0" w:type="dxa"/>
        <w:right w:w="0" w:type="dxa"/>
      </w:tblCellMar>
    </w:tblPr>
  </w:style>
  <w:style w:type="table" w:customStyle="1" w:styleId="194">
    <w:name w:val="_Style 202"/>
    <w:basedOn w:val="22"/>
    <w:qFormat/>
    <w:uiPriority w:val="0"/>
    <w:pPr>
      <w:spacing w:after="0" w:line="240" w:lineRule="auto"/>
    </w:pPr>
    <w:tblPr>
      <w:tblCellMar>
        <w:top w:w="0" w:type="dxa"/>
        <w:left w:w="0" w:type="dxa"/>
        <w:bottom w:w="0" w:type="dxa"/>
        <w:right w:w="0" w:type="dxa"/>
      </w:tblCellMar>
    </w:tblPr>
  </w:style>
  <w:style w:type="table" w:customStyle="1" w:styleId="195">
    <w:name w:val="_Style 203"/>
    <w:basedOn w:val="22"/>
    <w:qFormat/>
    <w:uiPriority w:val="0"/>
    <w:pPr>
      <w:spacing w:after="0" w:line="240" w:lineRule="auto"/>
    </w:pPr>
    <w:tblPr>
      <w:tblCellMar>
        <w:top w:w="0" w:type="dxa"/>
        <w:left w:w="0" w:type="dxa"/>
        <w:bottom w:w="0" w:type="dxa"/>
        <w:right w:w="108" w:type="dxa"/>
      </w:tblCellMar>
    </w:tblPr>
  </w:style>
  <w:style w:type="table" w:customStyle="1" w:styleId="196">
    <w:name w:val="_Style 204"/>
    <w:basedOn w:val="22"/>
    <w:qFormat/>
    <w:uiPriority w:val="0"/>
    <w:pPr>
      <w:spacing w:after="0" w:line="240" w:lineRule="auto"/>
    </w:pPr>
    <w:tblPr>
      <w:tblCellMar>
        <w:top w:w="0" w:type="dxa"/>
        <w:left w:w="0" w:type="dxa"/>
        <w:bottom w:w="0" w:type="dxa"/>
        <w:right w:w="0" w:type="dxa"/>
      </w:tblCellMar>
    </w:tblPr>
  </w:style>
  <w:style w:type="table" w:customStyle="1" w:styleId="197">
    <w:name w:val="_Style 205"/>
    <w:basedOn w:val="22"/>
    <w:qFormat/>
    <w:uiPriority w:val="0"/>
    <w:pPr>
      <w:spacing w:after="0" w:line="240" w:lineRule="auto"/>
    </w:pPr>
    <w:tblPr>
      <w:tblCellMar>
        <w:top w:w="0" w:type="dxa"/>
        <w:left w:w="0" w:type="dxa"/>
        <w:bottom w:w="0" w:type="dxa"/>
        <w:right w:w="0" w:type="dxa"/>
      </w:tblCellMar>
    </w:tblPr>
  </w:style>
  <w:style w:type="table" w:customStyle="1" w:styleId="198">
    <w:name w:val="_Style 206"/>
    <w:basedOn w:val="22"/>
    <w:qFormat/>
    <w:uiPriority w:val="0"/>
    <w:pPr>
      <w:spacing w:after="0" w:line="240" w:lineRule="auto"/>
    </w:pPr>
    <w:tblPr>
      <w:tblCellMar>
        <w:top w:w="0" w:type="dxa"/>
        <w:left w:w="108" w:type="dxa"/>
        <w:bottom w:w="0" w:type="dxa"/>
        <w:right w:w="108" w:type="dxa"/>
      </w:tblCellMar>
    </w:tblPr>
  </w:style>
  <w:style w:type="table" w:customStyle="1" w:styleId="199">
    <w:name w:val="_Style 207"/>
    <w:basedOn w:val="22"/>
    <w:qFormat/>
    <w:uiPriority w:val="0"/>
    <w:pPr>
      <w:spacing w:after="0" w:line="240" w:lineRule="auto"/>
    </w:pPr>
    <w:tblPr>
      <w:tblCellMar>
        <w:top w:w="0" w:type="dxa"/>
        <w:left w:w="0" w:type="dxa"/>
        <w:bottom w:w="0" w:type="dxa"/>
        <w:right w:w="0" w:type="dxa"/>
      </w:tblCellMar>
    </w:tblPr>
  </w:style>
  <w:style w:type="table" w:customStyle="1" w:styleId="200">
    <w:name w:val="_Style 208"/>
    <w:basedOn w:val="22"/>
    <w:qFormat/>
    <w:uiPriority w:val="0"/>
    <w:pPr>
      <w:spacing w:after="0" w:line="240" w:lineRule="auto"/>
    </w:pPr>
    <w:tblPr>
      <w:tblCellMar>
        <w:top w:w="0" w:type="dxa"/>
        <w:left w:w="0" w:type="dxa"/>
        <w:bottom w:w="0" w:type="dxa"/>
        <w:right w:w="0" w:type="dxa"/>
      </w:tblCellMar>
    </w:tblPr>
  </w:style>
  <w:style w:type="table" w:customStyle="1" w:styleId="201">
    <w:name w:val="_Style 209"/>
    <w:basedOn w:val="22"/>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tCgX5JsXx1cd2O/dj+NDim5TuqQ==">CgMxLjA4AHIhMUs4V1RycngyQkRMbXZsVFRaaFJwU1M1eTdyYXdQdVk4</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16</Pages>
  <TotalTime>0</TotalTime>
  <ScaleCrop>false</ScaleCrop>
  <LinksUpToDate>false</LinksUpToDate>
  <Application>WPS Office_6.11.0.8615_F1E327BC-269C-435d-A152-05C5408002CA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2021-09-03T08:18:00Z</dcterms:created>
  <dc:creator>qtngo</dc:creator>
  <cp:lastModifiedBy>MurielLopet</cp:lastModifiedBy>
  <dcterms:modified xsi:type="dcterms:W3CDTF">2025-04-08T23:42:56Z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1033-6.11.0.8615</vt:lpwstr>
  </property>
  <property fmtid="{D5CDD505-2E9C-101B-9397-08002B2CF9AE}" pid="3" name="ICV">
    <vt:lpwstr>BA5B7810A86ECD266098F567173EA9B4_42</vt:lpwstr>
  </property>
</Properties>
</file>