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6FF8" w14:textId="77777777" w:rsidR="00215A6E" w:rsidRPr="00215A6E" w:rsidRDefault="00215A6E" w:rsidP="00215A6E">
      <w:pPr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15A6E">
        <w:rPr>
          <w:rFonts w:ascii="Times New Roman" w:hAnsi="Times New Roman" w:cs="Times New Roman"/>
          <w:b/>
          <w:bCs/>
          <w:color w:val="FF0000"/>
          <w:sz w:val="40"/>
          <w:szCs w:val="40"/>
        </w:rPr>
        <w:t>NOTA BENE - INFORMAZIONI PER L'UTENTE</w:t>
      </w:r>
    </w:p>
    <w:p w14:paraId="70286039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 xml:space="preserve">1)Tutti gli articoli presentati all’interno di questo sito sono da intendere come curiosità magiche e folkloriche </w:t>
      </w:r>
    </w:p>
    <w:p w14:paraId="58005075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legate alla tradizione salomonica, egizia e celtica. L'Arte suprema del Trigono SNC non vanta proprietà</w:t>
      </w:r>
    </w:p>
    <w:p w14:paraId="2FE25759" w14:textId="781AEAEA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miracolose né poteri paranormali, le descrizioni degli stessi fanno riferimento a quanto tramandato dalle varie tradizioni a cui i prodotti appartengono. Sta al buon senso dell’utente la valutazione dei medesimi. Ogni articolo prodotto rispetta le vigenti normative europee circa la sicurezza e la genuinità. I servizi di consulenza personalizzata si limitano a una condivisione di informazioni circa l’uso tradizionale dei materiali. Arte Suprema del Trigono si limita a distribuire il materiale arricchendo i prodotti delle informazioni tradizionali circa l’uso.</w:t>
      </w:r>
    </w:p>
    <w:p w14:paraId="3BB2FBFC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DC22F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 xml:space="preserve">2) Molti degli articoli presenti nel nostro Catalogo sono elementi appartenenti a diverse culture </w:t>
      </w:r>
    </w:p>
    <w:p w14:paraId="714F382C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 xml:space="preserve">religiose/esoteriche. L'attribuzione di proprietà soprannaturali o magiche da parte di queste non è ovviamente </w:t>
      </w:r>
    </w:p>
    <w:p w14:paraId="475DDD36" w14:textId="5C79B874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dimostrabile scientificamente ed in maniera positiva, staccandosi dall'impiego pratico e rientrando nell'ambito del proprio credo. Invitiamo gli acquirenti a valutare in maniera oggettiva eventuali acquisti onde evitare che potessero in un qualche modo ledere la propria etica e la propria sensibilità personale. L'Arte Suprema del Trigono non si ritiene responsabile di questo, esercitando unicamente una funzione di distribuzione e vendita di articoli che vanno intesi come curiosità magiche e folkloriche.</w:t>
      </w:r>
    </w:p>
    <w:p w14:paraId="44A6260A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C349C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 xml:space="preserve">3) Il cliente inviando il proprio ordine dichiara di aver letto e accettato le condizioni generali di vendita e di </w:t>
      </w:r>
    </w:p>
    <w:p w14:paraId="447B3643" w14:textId="350E16B0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averne compreso la natura degli articoli acquistati.</w:t>
      </w:r>
    </w:p>
    <w:p w14:paraId="78893B98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37C70" w14:textId="43C0385F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4) La magia come tale non è suscettibile di dimostrazione scientifica. Tale disciplina non distoglie le incombenze che l'uomo quotidianamente affronta ma aiuta l'uomo, come tutte le altre discipline ad avere un credo che lo aiuta a superare ostacoli.</w:t>
      </w:r>
    </w:p>
    <w:p w14:paraId="403F5B9E" w14:textId="77777777" w:rsidR="00215A6E" w:rsidRPr="00215A6E" w:rsidRDefault="00215A6E" w:rsidP="00215A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99C9F" w14:textId="77777777" w:rsidR="00215A6E" w:rsidRPr="00215A6E" w:rsidRDefault="00215A6E" w:rsidP="00215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15A6E">
        <w:rPr>
          <w:rFonts w:ascii="Times New Roman" w:hAnsi="Times New Roman" w:cs="Times New Roman"/>
          <w:b/>
          <w:bCs/>
          <w:color w:val="FF0000"/>
          <w:sz w:val="40"/>
          <w:szCs w:val="40"/>
        </w:rPr>
        <w:t>Informativa ai sensi dell'ART.13 del D.LGS 196/03</w:t>
      </w:r>
    </w:p>
    <w:p w14:paraId="04CB0ABA" w14:textId="0A8B1D5D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Con l'entrata in vigore del D. LGS 196/03 recante disposizione in materia di protezione dei dati personali, la società</w:t>
      </w:r>
      <w:r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ARTE SUPREMA DEL TRIGONO, in qualità di titolare del trattamento, è tenuto a fornire alcune informazioni</w:t>
      </w:r>
      <w:r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riguardanti l'utilizzo dei dati personali. Secondo la legge indicata, tale trattamento sarà improntato ai principi di</w:t>
      </w:r>
      <w:r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correttezza, liceità e trasparenza nel rispetto dei Suoi diritti e libertà fondamentali, nonché della sua dignità.</w:t>
      </w:r>
    </w:p>
    <w:p w14:paraId="7C673558" w14:textId="77777777" w:rsidR="00215A6E" w:rsidRPr="0061733D" w:rsidRDefault="00215A6E" w:rsidP="00215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Ai sensi dell'articolo 13 della legge predetta, Le forniamo quindi le seguenti informazioni.</w:t>
      </w:r>
    </w:p>
    <w:p w14:paraId="3E14B702" w14:textId="51CA20EA" w:rsidR="00215A6E" w:rsidRPr="0061733D" w:rsidRDefault="00215A6E" w:rsidP="0061733D">
      <w:pPr>
        <w:pStyle w:val="Paragrafoelenco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Finalità del trattamento cui sono destinati i dati: Fornitura di beni: i dati saranno utilizzati unicamente per inviare il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materiale richiesto più eventualmente i nostri cataloghi cartacei.</w:t>
      </w:r>
    </w:p>
    <w:p w14:paraId="16368D26" w14:textId="63CBAF8B" w:rsidR="00215A6E" w:rsidRPr="0061733D" w:rsidRDefault="00215A6E" w:rsidP="0061733D">
      <w:pPr>
        <w:pStyle w:val="Paragrafoelenco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Modalità di trattamento dei dati: in relazione alle sue indicate finalità, il trattamento dei dati avviene mediante strumenti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manuali o informatici. I dati sono raccolti all'interno dell'ufficio competente e all'interno di un database informatico e in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ogni caso trattati in modo da garantire la sicurezza e la riservatezza dei dati stessi.</w:t>
      </w:r>
    </w:p>
    <w:p w14:paraId="19D2C7DC" w14:textId="52B3DBD5" w:rsidR="005E0BCB" w:rsidRPr="0061733D" w:rsidRDefault="00215A6E" w:rsidP="0061733D">
      <w:pPr>
        <w:pStyle w:val="Paragrafoelenco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33D">
        <w:rPr>
          <w:rFonts w:ascii="Times New Roman" w:hAnsi="Times New Roman" w:cs="Times New Roman"/>
          <w:sz w:val="24"/>
          <w:szCs w:val="24"/>
        </w:rPr>
        <w:t>Categoria di soggetti ai quali i dati vengono comunicati: per motivi di legge i dati personali vengono comunicati solo a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soggetti incaricati dal titolare operanti in qualità di dipendenti/collaboratori dell'azienda. I dati sensibili non saranno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comunicati ad altri soggetti ne saranno oggetto di diffusione. Lei potrà rivolgersi alla società Arte Suprema del Trigono,</w:t>
      </w:r>
      <w:r w:rsidR="0061733D" w:rsidRPr="0061733D">
        <w:rPr>
          <w:rFonts w:ascii="Times New Roman" w:hAnsi="Times New Roman" w:cs="Times New Roman"/>
          <w:sz w:val="24"/>
          <w:szCs w:val="24"/>
        </w:rPr>
        <w:t xml:space="preserve"> </w:t>
      </w:r>
      <w:r w:rsidRPr="0061733D">
        <w:rPr>
          <w:rFonts w:ascii="Times New Roman" w:hAnsi="Times New Roman" w:cs="Times New Roman"/>
          <w:sz w:val="24"/>
          <w:szCs w:val="24"/>
        </w:rPr>
        <w:t>per far valere i suoi diritti così come previsti dall' Art. 7 del D.LGS 196/03.</w:t>
      </w:r>
    </w:p>
    <w:sectPr w:rsidR="005E0BCB" w:rsidRPr="00617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948"/>
    <w:multiLevelType w:val="hybridMultilevel"/>
    <w:tmpl w:val="C47C84A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476548"/>
    <w:multiLevelType w:val="hybridMultilevel"/>
    <w:tmpl w:val="9E9E8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7EE3"/>
    <w:multiLevelType w:val="hybridMultilevel"/>
    <w:tmpl w:val="3CE0A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67D0C"/>
    <w:multiLevelType w:val="hybridMultilevel"/>
    <w:tmpl w:val="F006A48E"/>
    <w:lvl w:ilvl="0" w:tplc="20222F7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F30"/>
    <w:multiLevelType w:val="hybridMultilevel"/>
    <w:tmpl w:val="0870FB72"/>
    <w:lvl w:ilvl="0" w:tplc="20222F7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E"/>
    <w:rsid w:val="00215A6E"/>
    <w:rsid w:val="005E0BCB"/>
    <w:rsid w:val="006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5DD4"/>
  <w15:chartTrackingRefBased/>
  <w15:docId w15:val="{4DE50183-BA0B-4A00-B526-0F3715B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2024-05-22T18:29:00Z</dcterms:created>
  <dcterms:modified xsi:type="dcterms:W3CDTF">2024-05-22T18:38:00Z</dcterms:modified>
</cp:coreProperties>
</file>