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F40A"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i/>
          <w:sz w:val="28"/>
          <w:szCs w:val="28"/>
        </w:rPr>
      </w:pPr>
      <w:r w:rsidRPr="006A10A2">
        <w:rPr>
          <w:rFonts w:asciiTheme="minorHAnsi" w:hAnsiTheme="minorHAnsi" w:cstheme="minorHAnsi"/>
          <w:i/>
          <w:sz w:val="28"/>
          <w:szCs w:val="28"/>
        </w:rPr>
        <w:t>This ISP98 Form 11.1 Model Government Standby Form is for federal, state, and local governments in the United States to use in updating and improving their required or permitted forms of standby letters of credit that support underlying obligations to the government.</w:t>
      </w:r>
    </w:p>
    <w:p w14:paraId="065810F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i/>
          <w:sz w:val="28"/>
          <w:szCs w:val="28"/>
        </w:rPr>
      </w:pPr>
    </w:p>
    <w:p w14:paraId="7B8F3B00" w14:textId="4C14BC86" w:rsidR="0025716F" w:rsidRDefault="0025716F" w:rsidP="0025716F">
      <w:pPr>
        <w:jc w:val="center"/>
        <w:outlineLvl w:val="0"/>
        <w:rPr>
          <w:rFonts w:asciiTheme="minorHAnsi" w:hAnsiTheme="minorHAnsi" w:cstheme="minorHAnsi"/>
          <w:b/>
          <w:sz w:val="32"/>
          <w:szCs w:val="32"/>
        </w:rPr>
      </w:pPr>
      <w:r w:rsidRPr="006A10A2">
        <w:rPr>
          <w:rFonts w:asciiTheme="minorHAnsi" w:hAnsiTheme="minorHAnsi" w:cstheme="minorHAnsi"/>
          <w:b/>
          <w:sz w:val="32"/>
          <w:szCs w:val="32"/>
        </w:rPr>
        <w:t>ISP98 Form 11.1</w:t>
      </w:r>
    </w:p>
    <w:p w14:paraId="40D77173" w14:textId="77777777" w:rsidR="006A10A2" w:rsidRPr="006A10A2" w:rsidRDefault="006A10A2" w:rsidP="0025716F">
      <w:pPr>
        <w:jc w:val="center"/>
        <w:outlineLvl w:val="0"/>
        <w:rPr>
          <w:rFonts w:asciiTheme="minorHAnsi" w:hAnsiTheme="minorHAnsi" w:cstheme="minorHAnsi"/>
          <w:b/>
          <w:sz w:val="32"/>
          <w:szCs w:val="32"/>
        </w:rPr>
      </w:pPr>
    </w:p>
    <w:p w14:paraId="24282BC2" w14:textId="73CDCC16" w:rsidR="0025716F" w:rsidRPr="006A10A2" w:rsidRDefault="0025716F" w:rsidP="0025716F">
      <w:pPr>
        <w:jc w:val="center"/>
        <w:outlineLvl w:val="0"/>
        <w:rPr>
          <w:rFonts w:asciiTheme="minorHAnsi" w:hAnsiTheme="minorHAnsi" w:cstheme="minorHAnsi"/>
          <w:b/>
          <w:sz w:val="32"/>
          <w:szCs w:val="32"/>
        </w:rPr>
      </w:pPr>
      <w:r w:rsidRPr="006A10A2">
        <w:rPr>
          <w:rFonts w:asciiTheme="minorHAnsi" w:hAnsiTheme="minorHAnsi" w:cstheme="minorHAnsi"/>
          <w:b/>
          <w:sz w:val="32"/>
          <w:szCs w:val="32"/>
        </w:rPr>
        <w:t xml:space="preserve">Model </w:t>
      </w:r>
      <w:r w:rsidR="00A31F1D">
        <w:rPr>
          <w:rFonts w:asciiTheme="minorHAnsi" w:hAnsiTheme="minorHAnsi" w:cstheme="minorHAnsi"/>
          <w:b/>
          <w:sz w:val="32"/>
          <w:szCs w:val="32"/>
        </w:rPr>
        <w:t xml:space="preserve">U.S. </w:t>
      </w:r>
      <w:r w:rsidRPr="006A10A2">
        <w:rPr>
          <w:rFonts w:asciiTheme="minorHAnsi" w:hAnsiTheme="minorHAnsi" w:cstheme="minorHAnsi"/>
          <w:b/>
          <w:sz w:val="32"/>
          <w:szCs w:val="32"/>
        </w:rPr>
        <w:t>Government Standby Form*</w:t>
      </w:r>
    </w:p>
    <w:p w14:paraId="3423894B" w14:textId="77777777" w:rsidR="0025716F" w:rsidRPr="006A10A2" w:rsidRDefault="0025716F" w:rsidP="0025716F">
      <w:pPr>
        <w:jc w:val="center"/>
        <w:outlineLvl w:val="0"/>
        <w:rPr>
          <w:rFonts w:asciiTheme="minorHAnsi" w:hAnsiTheme="minorHAnsi" w:cstheme="minorHAnsi"/>
          <w:b/>
          <w:sz w:val="32"/>
          <w:szCs w:val="32"/>
        </w:rPr>
      </w:pPr>
    </w:p>
    <w:p w14:paraId="1C7BBDD6" w14:textId="77777777" w:rsidR="00E63A03" w:rsidRPr="00D15C5F" w:rsidRDefault="00E63A03" w:rsidP="00E63A03">
      <w:pPr>
        <w:jc w:val="center"/>
        <w:rPr>
          <w:rFonts w:asciiTheme="minorHAnsi" w:hAnsiTheme="minorHAnsi" w:cstheme="minorHAnsi"/>
          <w:b/>
          <w:sz w:val="32"/>
        </w:rPr>
      </w:pPr>
      <w:r w:rsidRPr="00D15C5F">
        <w:rPr>
          <w:rFonts w:asciiTheme="minorHAnsi" w:hAnsiTheme="minorHAnsi" w:cstheme="minorHAnsi"/>
          <w:b/>
          <w:sz w:val="32"/>
        </w:rPr>
        <w:t xml:space="preserve">Irrevocable Standby Letter of Credit No. </w:t>
      </w:r>
      <w:r>
        <w:rPr>
          <w:rFonts w:asciiTheme="minorHAnsi" w:hAnsiTheme="minorHAnsi" w:cstheme="minorHAnsi"/>
          <w:b/>
          <w:bCs/>
          <w:sz w:val="32"/>
          <w:szCs w:val="32"/>
          <w:highlight w:val="yellow"/>
        </w:rPr>
        <w:fldChar w:fldCharType="begin">
          <w:ffData>
            <w:name w:val=""/>
            <w:enabled/>
            <w:calcOnExit w:val="0"/>
            <w:textInput>
              <w:default w:val="[reference number]"/>
            </w:textInput>
          </w:ffData>
        </w:fldChar>
      </w:r>
      <w:r>
        <w:rPr>
          <w:rFonts w:asciiTheme="minorHAnsi" w:hAnsiTheme="minorHAnsi" w:cstheme="minorHAnsi"/>
          <w:b/>
          <w:bCs/>
          <w:sz w:val="32"/>
          <w:szCs w:val="32"/>
          <w:highlight w:val="yellow"/>
        </w:rPr>
        <w:instrText xml:space="preserve"> FORMTEXT </w:instrText>
      </w:r>
      <w:r>
        <w:rPr>
          <w:rFonts w:asciiTheme="minorHAnsi" w:hAnsiTheme="minorHAnsi" w:cstheme="minorHAnsi"/>
          <w:b/>
          <w:bCs/>
          <w:sz w:val="32"/>
          <w:szCs w:val="32"/>
          <w:highlight w:val="yellow"/>
        </w:rPr>
      </w:r>
      <w:r>
        <w:rPr>
          <w:rFonts w:asciiTheme="minorHAnsi" w:hAnsiTheme="minorHAnsi" w:cstheme="minorHAnsi"/>
          <w:b/>
          <w:bCs/>
          <w:sz w:val="32"/>
          <w:szCs w:val="32"/>
          <w:highlight w:val="yellow"/>
        </w:rPr>
        <w:fldChar w:fldCharType="separate"/>
      </w:r>
      <w:r>
        <w:rPr>
          <w:rFonts w:asciiTheme="minorHAnsi" w:hAnsiTheme="minorHAnsi" w:cstheme="minorHAnsi"/>
          <w:b/>
          <w:bCs/>
          <w:noProof/>
          <w:sz w:val="32"/>
          <w:szCs w:val="32"/>
          <w:highlight w:val="yellow"/>
        </w:rPr>
        <w:t>[reference number]</w:t>
      </w:r>
      <w:r>
        <w:rPr>
          <w:rFonts w:asciiTheme="minorHAnsi" w:hAnsiTheme="minorHAnsi" w:cstheme="minorHAnsi"/>
          <w:b/>
          <w:bCs/>
          <w:sz w:val="32"/>
          <w:szCs w:val="32"/>
          <w:highlight w:val="yellow"/>
        </w:rPr>
        <w:fldChar w:fldCharType="end"/>
      </w:r>
    </w:p>
    <w:p w14:paraId="6899916C" w14:textId="77777777" w:rsidR="00A10985" w:rsidRDefault="00A10985" w:rsidP="0025716F">
      <w:pPr>
        <w:outlineLvl w:val="0"/>
        <w:rPr>
          <w:rFonts w:asciiTheme="minorHAnsi" w:hAnsiTheme="minorHAnsi" w:cstheme="minorHAnsi"/>
          <w:b/>
          <w:sz w:val="32"/>
          <w:szCs w:val="32"/>
        </w:rPr>
      </w:pPr>
    </w:p>
    <w:p w14:paraId="0C3A6073" w14:textId="32020E24" w:rsidR="00E63A03" w:rsidRPr="001515F4" w:rsidRDefault="00E63A03" w:rsidP="00E63A03">
      <w:pPr>
        <w:rPr>
          <w:rFonts w:asciiTheme="minorHAnsi" w:hAnsiTheme="minorHAnsi" w:cstheme="minorHAnsi"/>
          <w:bCs/>
        </w:rPr>
      </w:pPr>
      <w:r w:rsidRPr="00E63A03">
        <w:rPr>
          <w:rFonts w:asciiTheme="minorHAnsi" w:hAnsiTheme="minorHAnsi" w:cstheme="minorHAnsi"/>
          <w:b/>
          <w:bCs/>
          <w:highlight w:val="yellow"/>
        </w:rPr>
        <w:fldChar w:fldCharType="begin">
          <w:ffData>
            <w:name w:val=""/>
            <w:enabled/>
            <w:calcOnExit w:val="0"/>
            <w:textInput>
              <w:default w:val="[name and address of beneficiary]"/>
            </w:textInput>
          </w:ffData>
        </w:fldChar>
      </w:r>
      <w:r w:rsidRPr="00E63A03">
        <w:rPr>
          <w:rFonts w:asciiTheme="minorHAnsi" w:hAnsiTheme="minorHAnsi" w:cstheme="minorHAnsi"/>
          <w:b/>
          <w:bCs/>
          <w:highlight w:val="yellow"/>
        </w:rPr>
        <w:instrText xml:space="preserve"> FORMTEXT </w:instrText>
      </w:r>
      <w:r w:rsidRPr="00E63A03">
        <w:rPr>
          <w:rFonts w:asciiTheme="minorHAnsi" w:hAnsiTheme="minorHAnsi" w:cstheme="minorHAnsi"/>
          <w:b/>
          <w:bCs/>
          <w:highlight w:val="yellow"/>
        </w:rPr>
      </w:r>
      <w:r w:rsidRPr="00E63A03">
        <w:rPr>
          <w:rFonts w:asciiTheme="minorHAnsi" w:hAnsiTheme="minorHAnsi" w:cstheme="minorHAnsi"/>
          <w:b/>
          <w:bCs/>
          <w:highlight w:val="yellow"/>
        </w:rPr>
        <w:fldChar w:fldCharType="separate"/>
      </w:r>
      <w:r w:rsidRPr="00E63A03">
        <w:rPr>
          <w:rFonts w:asciiTheme="minorHAnsi" w:hAnsiTheme="minorHAnsi" w:cstheme="minorHAnsi"/>
          <w:b/>
          <w:bCs/>
          <w:noProof/>
          <w:highlight w:val="yellow"/>
        </w:rPr>
        <w:t>[name and address of beneficiary]</w:t>
      </w:r>
      <w:r w:rsidRPr="00E63A03">
        <w:rPr>
          <w:rFonts w:asciiTheme="minorHAnsi" w:hAnsiTheme="minorHAnsi" w:cstheme="minorHAnsi"/>
          <w:b/>
          <w:bCs/>
          <w:highlight w:val="yellow"/>
        </w:rPr>
        <w:fldChar w:fldCharType="end"/>
      </w:r>
      <w:bookmarkStart w:id="0" w:name="_Ref251138160"/>
      <w:r w:rsidRPr="00E63A03">
        <w:rPr>
          <w:rStyle w:val="Heading1Char"/>
          <w:rFonts w:asciiTheme="minorHAnsi" w:hAnsiTheme="minorHAnsi" w:cstheme="minorHAnsi"/>
        </w:rPr>
        <w:t xml:space="preserve"> </w:t>
      </w:r>
      <w:r w:rsidRPr="006A10A2">
        <w:rPr>
          <w:rStyle w:val="EndnoteReference"/>
          <w:rFonts w:asciiTheme="minorHAnsi" w:hAnsiTheme="minorHAnsi" w:cstheme="minorHAnsi"/>
        </w:rPr>
        <w:endnoteReference w:id="1"/>
      </w:r>
      <w:bookmarkEnd w:id="0"/>
    </w:p>
    <w:p w14:paraId="3692C1B1" w14:textId="77777777" w:rsidR="00E63A03" w:rsidRPr="001515F4" w:rsidRDefault="00E63A03" w:rsidP="00E63A03">
      <w:pPr>
        <w:rPr>
          <w:rFonts w:asciiTheme="minorHAnsi" w:hAnsiTheme="minorHAnsi" w:cstheme="minorHAnsi"/>
          <w:bCs/>
        </w:rPr>
      </w:pPr>
    </w:p>
    <w:bookmarkStart w:id="1" w:name="_Hlk210833857"/>
    <w:p w14:paraId="371D79B2" w14:textId="77777777" w:rsidR="00E63A03" w:rsidRPr="00E63A03" w:rsidRDefault="00E63A03" w:rsidP="00E63A03">
      <w:pPr>
        <w:rPr>
          <w:rFonts w:asciiTheme="minorHAnsi" w:hAnsiTheme="minorHAnsi" w:cstheme="minorHAnsi"/>
          <w:b/>
          <w:bCs/>
        </w:rPr>
      </w:pPr>
      <w:r w:rsidRPr="00E63A03">
        <w:rPr>
          <w:rFonts w:asciiTheme="minorHAnsi" w:hAnsiTheme="minorHAnsi" w:cstheme="minorHAnsi"/>
          <w:b/>
          <w:bCs/>
          <w:highlight w:val="yellow"/>
        </w:rPr>
        <w:fldChar w:fldCharType="begin">
          <w:ffData>
            <w:name w:val=""/>
            <w:enabled/>
            <w:calcOnExit w:val="0"/>
            <w:textInput>
              <w:default w:val="[date of issuance]"/>
            </w:textInput>
          </w:ffData>
        </w:fldChar>
      </w:r>
      <w:r w:rsidRPr="00E63A03">
        <w:rPr>
          <w:rFonts w:asciiTheme="minorHAnsi" w:hAnsiTheme="minorHAnsi" w:cstheme="minorHAnsi"/>
          <w:b/>
          <w:bCs/>
          <w:highlight w:val="yellow"/>
        </w:rPr>
        <w:instrText xml:space="preserve"> FORMTEXT </w:instrText>
      </w:r>
      <w:r w:rsidRPr="00E63A03">
        <w:rPr>
          <w:rFonts w:asciiTheme="minorHAnsi" w:hAnsiTheme="minorHAnsi" w:cstheme="minorHAnsi"/>
          <w:b/>
          <w:bCs/>
          <w:highlight w:val="yellow"/>
        </w:rPr>
      </w:r>
      <w:r w:rsidRPr="00E63A03">
        <w:rPr>
          <w:rFonts w:asciiTheme="minorHAnsi" w:hAnsiTheme="minorHAnsi" w:cstheme="minorHAnsi"/>
          <w:b/>
          <w:bCs/>
          <w:highlight w:val="yellow"/>
        </w:rPr>
        <w:fldChar w:fldCharType="separate"/>
      </w:r>
      <w:r w:rsidRPr="00E63A03">
        <w:rPr>
          <w:rFonts w:asciiTheme="minorHAnsi" w:hAnsiTheme="minorHAnsi" w:cstheme="minorHAnsi"/>
          <w:b/>
          <w:bCs/>
          <w:noProof/>
          <w:highlight w:val="yellow"/>
        </w:rPr>
        <w:t>[date of issuance]</w:t>
      </w:r>
      <w:r w:rsidRPr="00E63A03">
        <w:rPr>
          <w:rFonts w:asciiTheme="minorHAnsi" w:hAnsiTheme="minorHAnsi" w:cstheme="minorHAnsi"/>
          <w:b/>
          <w:bCs/>
          <w:highlight w:val="yellow"/>
        </w:rPr>
        <w:fldChar w:fldCharType="end"/>
      </w:r>
      <w:bookmarkEnd w:id="1"/>
    </w:p>
    <w:p w14:paraId="4934DE20" w14:textId="77777777" w:rsidR="00E63A03" w:rsidRDefault="00E63A03" w:rsidP="0025716F">
      <w:pPr>
        <w:rPr>
          <w:rFonts w:asciiTheme="minorHAnsi" w:hAnsiTheme="minorHAnsi" w:cstheme="minorHAnsi"/>
          <w:iCs/>
        </w:rPr>
      </w:pPr>
    </w:p>
    <w:p w14:paraId="4FB43CFF" w14:textId="77777777" w:rsidR="00A10985" w:rsidRPr="00A10985" w:rsidRDefault="0025716F" w:rsidP="0025716F">
      <w:pPr>
        <w:rPr>
          <w:rFonts w:asciiTheme="minorHAnsi" w:hAnsiTheme="minorHAnsi" w:cstheme="minorHAnsi"/>
          <w:b/>
          <w:u w:val="single"/>
        </w:rPr>
      </w:pPr>
      <w:r w:rsidRPr="00A10985">
        <w:rPr>
          <w:rFonts w:asciiTheme="minorHAnsi" w:hAnsiTheme="minorHAnsi" w:cstheme="minorHAnsi"/>
          <w:b/>
          <w:u w:val="single"/>
        </w:rPr>
        <w:t>Issuance</w:t>
      </w:r>
    </w:p>
    <w:p w14:paraId="5094E7B7" w14:textId="12BA92B3" w:rsidR="0025716F" w:rsidRPr="006A10A2" w:rsidRDefault="00E63A03" w:rsidP="0025716F">
      <w:pPr>
        <w:rPr>
          <w:rFonts w:asciiTheme="minorHAnsi" w:hAnsiTheme="minorHAnsi" w:cstheme="minorHAnsi"/>
        </w:rPr>
      </w:pPr>
      <w:r w:rsidRPr="001515F4">
        <w:rPr>
          <w:rFonts w:asciiTheme="minorHAnsi" w:hAnsiTheme="minorHAnsi" w:cstheme="minorHAnsi"/>
          <w:bCs/>
        </w:rPr>
        <w:t xml:space="preserve">At the request and for the account of </w:t>
      </w:r>
      <w:r w:rsidRPr="00E63A03">
        <w:rPr>
          <w:rFonts w:asciiTheme="minorHAnsi" w:hAnsiTheme="minorHAnsi" w:cstheme="minorHAnsi"/>
          <w:b/>
          <w:highlight w:val="yellow"/>
        </w:rPr>
        <w:fldChar w:fldCharType="begin">
          <w:ffData>
            <w:name w:val=""/>
            <w:enabled/>
            <w:calcOnExit w:val="0"/>
            <w:textInput>
              <w:default w:val="[name and address of applicant]"/>
            </w:textInput>
          </w:ffData>
        </w:fldChar>
      </w:r>
      <w:r w:rsidRPr="00E63A03">
        <w:rPr>
          <w:rFonts w:asciiTheme="minorHAnsi" w:hAnsiTheme="minorHAnsi" w:cstheme="minorHAnsi"/>
          <w:b/>
          <w:highlight w:val="yellow"/>
        </w:rPr>
        <w:instrText xml:space="preserve"> FORMTEXT </w:instrText>
      </w:r>
      <w:r w:rsidRPr="00E63A03">
        <w:rPr>
          <w:rFonts w:asciiTheme="minorHAnsi" w:hAnsiTheme="minorHAnsi" w:cstheme="minorHAnsi"/>
          <w:b/>
          <w:highlight w:val="yellow"/>
        </w:rPr>
      </w:r>
      <w:r w:rsidRPr="00E63A03">
        <w:rPr>
          <w:rFonts w:asciiTheme="minorHAnsi" w:hAnsiTheme="minorHAnsi" w:cstheme="minorHAnsi"/>
          <w:b/>
          <w:highlight w:val="yellow"/>
        </w:rPr>
        <w:fldChar w:fldCharType="separate"/>
      </w:r>
      <w:r w:rsidRPr="00E63A03">
        <w:rPr>
          <w:rFonts w:asciiTheme="minorHAnsi" w:hAnsiTheme="minorHAnsi" w:cstheme="minorHAnsi"/>
          <w:b/>
          <w:noProof/>
          <w:highlight w:val="yellow"/>
        </w:rPr>
        <w:t>[name and address of applicant]</w:t>
      </w:r>
      <w:r w:rsidRPr="00E63A03">
        <w:rPr>
          <w:rFonts w:asciiTheme="minorHAnsi" w:hAnsiTheme="minorHAnsi" w:cstheme="minorHAnsi"/>
          <w:b/>
          <w:highlight w:val="yellow"/>
        </w:rPr>
        <w:fldChar w:fldCharType="end"/>
      </w:r>
      <w:r w:rsidR="0025716F" w:rsidRPr="006A10A2">
        <w:rPr>
          <w:rStyle w:val="EndnoteReference"/>
          <w:rFonts w:asciiTheme="minorHAnsi" w:hAnsiTheme="minorHAnsi" w:cstheme="minorHAnsi"/>
        </w:rPr>
        <w:endnoteReference w:id="2"/>
      </w:r>
      <w:r w:rsidR="0025716F" w:rsidRPr="006A10A2">
        <w:rPr>
          <w:rFonts w:asciiTheme="minorHAnsi" w:hAnsiTheme="minorHAnsi" w:cstheme="minorHAnsi"/>
        </w:rPr>
        <w:t xml:space="preserve"> </w:t>
      </w:r>
      <w:r w:rsidRPr="001515F4">
        <w:rPr>
          <w:rFonts w:asciiTheme="minorHAnsi" w:hAnsiTheme="minorHAnsi" w:cstheme="minorHAnsi"/>
          <w:bCs/>
        </w:rPr>
        <w:t xml:space="preserve">(“Applicant”), we </w:t>
      </w:r>
      <w:r w:rsidRPr="00E63A03">
        <w:rPr>
          <w:rFonts w:asciiTheme="minorHAnsi" w:hAnsiTheme="minorHAnsi" w:cstheme="minorHAnsi"/>
          <w:b/>
          <w:highlight w:val="yellow"/>
        </w:rPr>
        <w:fldChar w:fldCharType="begin">
          <w:ffData>
            <w:name w:val="Text4"/>
            <w:enabled/>
            <w:calcOnExit w:val="0"/>
            <w:textInput>
              <w:default w:val="[name and address of issuer at place of issuance]"/>
            </w:textInput>
          </w:ffData>
        </w:fldChar>
      </w:r>
      <w:bookmarkStart w:id="2" w:name="Text4"/>
      <w:r w:rsidRPr="00E63A03">
        <w:rPr>
          <w:rFonts w:asciiTheme="minorHAnsi" w:hAnsiTheme="minorHAnsi" w:cstheme="minorHAnsi"/>
          <w:b/>
          <w:highlight w:val="yellow"/>
        </w:rPr>
        <w:instrText xml:space="preserve"> FORMTEXT </w:instrText>
      </w:r>
      <w:r w:rsidRPr="00E63A03">
        <w:rPr>
          <w:rFonts w:asciiTheme="minorHAnsi" w:hAnsiTheme="minorHAnsi" w:cstheme="minorHAnsi"/>
          <w:b/>
          <w:highlight w:val="yellow"/>
        </w:rPr>
      </w:r>
      <w:r w:rsidRPr="00E63A03">
        <w:rPr>
          <w:rFonts w:asciiTheme="minorHAnsi" w:hAnsiTheme="minorHAnsi" w:cstheme="minorHAnsi"/>
          <w:b/>
          <w:highlight w:val="yellow"/>
        </w:rPr>
        <w:fldChar w:fldCharType="separate"/>
      </w:r>
      <w:r w:rsidRPr="00E63A03">
        <w:rPr>
          <w:rFonts w:asciiTheme="minorHAnsi" w:hAnsiTheme="minorHAnsi" w:cstheme="minorHAnsi"/>
          <w:b/>
          <w:noProof/>
          <w:highlight w:val="yellow"/>
        </w:rPr>
        <w:t>[name and address of issuer at place of issuance]</w:t>
      </w:r>
      <w:r w:rsidRPr="00E63A03">
        <w:rPr>
          <w:rFonts w:asciiTheme="minorHAnsi" w:hAnsiTheme="minorHAnsi" w:cstheme="minorHAnsi"/>
          <w:b/>
          <w:highlight w:val="yellow"/>
        </w:rPr>
        <w:fldChar w:fldCharType="end"/>
      </w:r>
      <w:bookmarkEnd w:id="2"/>
      <w:r w:rsidR="0025716F" w:rsidRPr="006A10A2">
        <w:rPr>
          <w:rStyle w:val="EndnoteReference"/>
          <w:rFonts w:asciiTheme="minorHAnsi" w:hAnsiTheme="minorHAnsi" w:cstheme="minorHAnsi"/>
        </w:rPr>
        <w:endnoteReference w:id="3"/>
      </w:r>
      <w:r w:rsidR="0025716F" w:rsidRPr="006A10A2">
        <w:rPr>
          <w:rFonts w:asciiTheme="minorHAnsi" w:hAnsiTheme="minorHAnsi" w:cstheme="minorHAnsi"/>
        </w:rPr>
        <w:t xml:space="preserve"> (“Issuer”) issue this irrevocable</w:t>
      </w:r>
      <w:r w:rsidR="0025716F" w:rsidRPr="006A10A2">
        <w:rPr>
          <w:rStyle w:val="EndnoteReference"/>
          <w:rFonts w:asciiTheme="minorHAnsi" w:hAnsiTheme="minorHAnsi" w:cstheme="minorHAnsi"/>
        </w:rPr>
        <w:endnoteReference w:id="4"/>
      </w:r>
      <w:r w:rsidR="0025716F" w:rsidRPr="006A10A2">
        <w:rPr>
          <w:rFonts w:asciiTheme="minorHAnsi" w:hAnsiTheme="minorHAnsi" w:cstheme="minorHAnsi"/>
        </w:rPr>
        <w:t xml:space="preserve"> independent</w:t>
      </w:r>
      <w:r w:rsidR="0025716F" w:rsidRPr="006A10A2">
        <w:rPr>
          <w:rStyle w:val="EndnoteReference"/>
          <w:rFonts w:asciiTheme="minorHAnsi" w:hAnsiTheme="minorHAnsi" w:cstheme="minorHAnsi"/>
        </w:rPr>
        <w:endnoteReference w:id="5"/>
      </w:r>
      <w:r w:rsidR="0025716F" w:rsidRPr="006A10A2">
        <w:rPr>
          <w:rFonts w:asciiTheme="minorHAnsi" w:hAnsiTheme="minorHAnsi" w:cstheme="minorHAnsi"/>
        </w:rPr>
        <w:t xml:space="preserve"> standby letter of credit number </w:t>
      </w:r>
      <w:r w:rsidRPr="00E63A03">
        <w:rPr>
          <w:rFonts w:asciiTheme="minorHAnsi" w:hAnsiTheme="minorHAnsi" w:cstheme="minorHAnsi"/>
          <w:b/>
          <w:bCs/>
          <w:highlight w:val="yellow"/>
        </w:rPr>
        <w:fldChar w:fldCharType="begin">
          <w:ffData>
            <w:name w:val=""/>
            <w:enabled/>
            <w:calcOnExit w:val="0"/>
            <w:textInput>
              <w:default w:val="[reference number]"/>
            </w:textInput>
          </w:ffData>
        </w:fldChar>
      </w:r>
      <w:r w:rsidRPr="00E63A03">
        <w:rPr>
          <w:rFonts w:asciiTheme="minorHAnsi" w:hAnsiTheme="minorHAnsi" w:cstheme="minorHAnsi"/>
          <w:b/>
          <w:bCs/>
          <w:highlight w:val="yellow"/>
        </w:rPr>
        <w:instrText xml:space="preserve"> FORMTEXT </w:instrText>
      </w:r>
      <w:r w:rsidRPr="00E63A03">
        <w:rPr>
          <w:rFonts w:asciiTheme="minorHAnsi" w:hAnsiTheme="minorHAnsi" w:cstheme="minorHAnsi"/>
          <w:b/>
          <w:bCs/>
          <w:highlight w:val="yellow"/>
        </w:rPr>
      </w:r>
      <w:r w:rsidRPr="00E63A03">
        <w:rPr>
          <w:rFonts w:asciiTheme="minorHAnsi" w:hAnsiTheme="minorHAnsi" w:cstheme="minorHAnsi"/>
          <w:b/>
          <w:bCs/>
          <w:highlight w:val="yellow"/>
        </w:rPr>
        <w:fldChar w:fldCharType="separate"/>
      </w:r>
      <w:r w:rsidRPr="00E63A03">
        <w:rPr>
          <w:rFonts w:asciiTheme="minorHAnsi" w:hAnsiTheme="minorHAnsi" w:cstheme="minorHAnsi"/>
          <w:b/>
          <w:bCs/>
          <w:noProof/>
          <w:highlight w:val="yellow"/>
        </w:rPr>
        <w:t>[reference number]</w:t>
      </w:r>
      <w:r w:rsidRPr="00E63A03">
        <w:rPr>
          <w:rFonts w:asciiTheme="minorHAnsi" w:hAnsiTheme="minorHAnsi" w:cstheme="minorHAnsi"/>
          <w:b/>
          <w:bCs/>
          <w:highlight w:val="yellow"/>
        </w:rPr>
        <w:fldChar w:fldCharType="end"/>
      </w:r>
      <w:r w:rsidR="0025716F" w:rsidRPr="006A10A2">
        <w:rPr>
          <w:rFonts w:asciiTheme="minorHAnsi" w:hAnsiTheme="minorHAnsi" w:cstheme="minorHAnsi"/>
        </w:rPr>
        <w:t xml:space="preserve"> (“Standby”) in favor of </w:t>
      </w:r>
      <w:r w:rsidRPr="00E63A03">
        <w:rPr>
          <w:rFonts w:asciiTheme="minorHAnsi" w:hAnsiTheme="minorHAnsi" w:cstheme="minorHAnsi"/>
          <w:b/>
          <w:highlight w:val="yellow"/>
        </w:rPr>
        <w:fldChar w:fldCharType="begin">
          <w:ffData>
            <w:name w:val=""/>
            <w:enabled/>
            <w:calcOnExit w:val="0"/>
            <w:textInput>
              <w:default w:val="[name and address of beneficiary]"/>
            </w:textInput>
          </w:ffData>
        </w:fldChar>
      </w:r>
      <w:r w:rsidRPr="00E63A03">
        <w:rPr>
          <w:rFonts w:asciiTheme="minorHAnsi" w:hAnsiTheme="minorHAnsi" w:cstheme="minorHAnsi"/>
          <w:b/>
          <w:highlight w:val="yellow"/>
        </w:rPr>
        <w:instrText xml:space="preserve"> FORMTEXT </w:instrText>
      </w:r>
      <w:r w:rsidRPr="00E63A03">
        <w:rPr>
          <w:rFonts w:asciiTheme="minorHAnsi" w:hAnsiTheme="minorHAnsi" w:cstheme="minorHAnsi"/>
          <w:b/>
          <w:highlight w:val="yellow"/>
        </w:rPr>
      </w:r>
      <w:r w:rsidRPr="00E63A03">
        <w:rPr>
          <w:rFonts w:asciiTheme="minorHAnsi" w:hAnsiTheme="minorHAnsi" w:cstheme="minorHAnsi"/>
          <w:b/>
          <w:highlight w:val="yellow"/>
        </w:rPr>
        <w:fldChar w:fldCharType="separate"/>
      </w:r>
      <w:r w:rsidRPr="00E63A03">
        <w:rPr>
          <w:rFonts w:asciiTheme="minorHAnsi" w:hAnsiTheme="minorHAnsi" w:cstheme="minorHAnsi"/>
          <w:b/>
          <w:noProof/>
          <w:highlight w:val="yellow"/>
        </w:rPr>
        <w:t>[name and address of beneficiary]</w:t>
      </w:r>
      <w:r w:rsidRPr="00E63A03">
        <w:rPr>
          <w:rFonts w:asciiTheme="minorHAnsi" w:hAnsiTheme="minorHAnsi" w:cstheme="minorHAnsi"/>
          <w:b/>
          <w:highlight w:val="yellow"/>
        </w:rPr>
        <w:fldChar w:fldCharType="end"/>
      </w:r>
      <w:r w:rsidR="0025716F" w:rsidRPr="006A10A2">
        <w:rPr>
          <w:rFonts w:asciiTheme="minorHAnsi" w:hAnsiTheme="minorHAnsi" w:cstheme="minorHAnsi"/>
        </w:rPr>
        <w:t xml:space="preserve"> (“Beneficiary”) in the maximum aggregate amount of USD </w:t>
      </w:r>
      <w:r w:rsidRPr="00E63A03">
        <w:rPr>
          <w:rFonts w:asciiTheme="minorHAnsi" w:hAnsiTheme="minorHAnsi" w:cstheme="minorHAnsi"/>
          <w:b/>
          <w:bCs/>
          <w:highlight w:val="yellow"/>
        </w:rPr>
        <w:fldChar w:fldCharType="begin">
          <w:ffData>
            <w:name w:val="Text6"/>
            <w:enabled/>
            <w:calcOnExit w:val="0"/>
            <w:textInput>
              <w:default w:val="[amount]"/>
            </w:textInput>
          </w:ffData>
        </w:fldChar>
      </w:r>
      <w:r w:rsidRPr="00E63A03">
        <w:rPr>
          <w:rFonts w:asciiTheme="minorHAnsi" w:hAnsiTheme="minorHAnsi" w:cstheme="minorHAnsi"/>
          <w:b/>
          <w:bCs/>
          <w:highlight w:val="yellow"/>
        </w:rPr>
        <w:instrText xml:space="preserve"> FORMTEXT </w:instrText>
      </w:r>
      <w:r w:rsidRPr="00E63A03">
        <w:rPr>
          <w:rFonts w:asciiTheme="minorHAnsi" w:hAnsiTheme="minorHAnsi" w:cstheme="minorHAnsi"/>
          <w:b/>
          <w:bCs/>
          <w:highlight w:val="yellow"/>
        </w:rPr>
      </w:r>
      <w:r w:rsidRPr="00E63A03">
        <w:rPr>
          <w:rFonts w:asciiTheme="minorHAnsi" w:hAnsiTheme="minorHAnsi" w:cstheme="minorHAnsi"/>
          <w:b/>
          <w:bCs/>
          <w:highlight w:val="yellow"/>
        </w:rPr>
        <w:fldChar w:fldCharType="separate"/>
      </w:r>
      <w:r w:rsidRPr="00E63A03">
        <w:rPr>
          <w:rFonts w:asciiTheme="minorHAnsi" w:hAnsiTheme="minorHAnsi" w:cstheme="minorHAnsi"/>
          <w:b/>
          <w:bCs/>
          <w:noProof/>
          <w:highlight w:val="yellow"/>
        </w:rPr>
        <w:t>[amount]</w:t>
      </w:r>
      <w:r w:rsidRPr="00E63A03">
        <w:rPr>
          <w:rFonts w:asciiTheme="minorHAnsi" w:hAnsiTheme="minorHAnsi" w:cstheme="minorHAnsi"/>
          <w:b/>
          <w:bCs/>
          <w:highlight w:val="yellow"/>
        </w:rPr>
        <w:fldChar w:fldCharType="end"/>
      </w:r>
      <w:r w:rsidR="0025716F" w:rsidRPr="006A10A2">
        <w:rPr>
          <w:rFonts w:asciiTheme="minorHAnsi" w:hAnsiTheme="minorHAnsi" w:cstheme="minorHAnsi"/>
        </w:rPr>
        <w:t>.</w:t>
      </w:r>
      <w:r w:rsidR="0025716F" w:rsidRPr="006A10A2">
        <w:rPr>
          <w:rStyle w:val="EndnoteReference"/>
          <w:rFonts w:asciiTheme="minorHAnsi" w:hAnsiTheme="minorHAnsi" w:cstheme="minorHAnsi"/>
        </w:rPr>
        <w:endnoteReference w:id="6"/>
      </w:r>
    </w:p>
    <w:p w14:paraId="1568E147" w14:textId="77777777" w:rsidR="00E63A03" w:rsidRPr="006A10A2" w:rsidRDefault="00E63A03" w:rsidP="0025716F">
      <w:pPr>
        <w:rPr>
          <w:rFonts w:asciiTheme="minorHAnsi" w:hAnsiTheme="minorHAnsi" w:cstheme="minorHAnsi"/>
        </w:rPr>
      </w:pPr>
    </w:p>
    <w:p w14:paraId="7FC3C642"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right" w:pos="9360"/>
        </w:tabs>
        <w:rPr>
          <w:rFonts w:asciiTheme="minorHAnsi" w:hAnsiTheme="minorHAnsi" w:cstheme="minorHAnsi"/>
          <w:b/>
          <w:u w:val="single"/>
        </w:rPr>
      </w:pPr>
      <w:r w:rsidRPr="00A10985">
        <w:rPr>
          <w:rFonts w:asciiTheme="minorHAnsi" w:hAnsiTheme="minorHAnsi" w:cstheme="minorHAnsi"/>
          <w:b/>
          <w:u w:val="single"/>
        </w:rPr>
        <w:t>Undertaking</w:t>
      </w:r>
    </w:p>
    <w:p w14:paraId="1499D87A" w14:textId="0AF859A1"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right" w:pos="9360"/>
        </w:tabs>
        <w:rPr>
          <w:rFonts w:asciiTheme="minorHAnsi" w:hAnsiTheme="minorHAnsi" w:cstheme="minorHAnsi"/>
        </w:rPr>
      </w:pPr>
      <w:r w:rsidRPr="006A10A2">
        <w:rPr>
          <w:rFonts w:asciiTheme="minorHAnsi" w:hAnsiTheme="minorHAnsi" w:cstheme="minorHAnsi"/>
        </w:rPr>
        <w:t>Issuer undertakes to Beneficiary to pay Beneficiary’s demand for payment for an amount available</w:t>
      </w:r>
      <w:r w:rsidRPr="006A10A2">
        <w:rPr>
          <w:rStyle w:val="EndnoteReference"/>
          <w:rFonts w:asciiTheme="minorHAnsi" w:hAnsiTheme="minorHAnsi" w:cstheme="minorHAnsi"/>
        </w:rPr>
        <w:endnoteReference w:id="7"/>
      </w:r>
      <w:r w:rsidRPr="006A10A2">
        <w:rPr>
          <w:rFonts w:asciiTheme="minorHAnsi" w:hAnsiTheme="minorHAnsi" w:cstheme="minorHAnsi"/>
        </w:rPr>
        <w:t xml:space="preserve"> under this Standby and </w:t>
      </w:r>
      <w:r w:rsidRPr="006A10A2">
        <w:rPr>
          <w:rFonts w:asciiTheme="minorHAnsi" w:hAnsiTheme="minorHAnsi" w:cstheme="minorHAnsi"/>
          <w:color w:val="000000"/>
        </w:rPr>
        <w:t>in the form of Annex A (Payment Demand)</w:t>
      </w:r>
      <w:r w:rsidRPr="006A10A2">
        <w:rPr>
          <w:rStyle w:val="EndnoteReference"/>
          <w:rFonts w:asciiTheme="minorHAnsi" w:hAnsiTheme="minorHAnsi" w:cstheme="minorHAnsi"/>
          <w:color w:val="000000"/>
        </w:rPr>
        <w:endnoteReference w:id="8"/>
      </w:r>
      <w:r w:rsidRPr="006A10A2">
        <w:rPr>
          <w:rFonts w:asciiTheme="minorHAnsi" w:hAnsiTheme="minorHAnsi" w:cstheme="minorHAnsi"/>
          <w:color w:val="000000"/>
        </w:rPr>
        <w:t xml:space="preserve"> </w:t>
      </w:r>
      <w:r w:rsidR="006D3CD5" w:rsidRPr="006D3CD5">
        <w:rPr>
          <w:rFonts w:asciiTheme="minorHAnsi" w:hAnsiTheme="minorHAnsi" w:cstheme="minorHAnsi"/>
          <w:b/>
          <w:bCs/>
          <w:highlight w:val="green"/>
        </w:rPr>
        <w:fldChar w:fldCharType="begin">
          <w:ffData>
            <w:name w:val=""/>
            <w:enabled/>
            <w:calcOnExit w:val="0"/>
            <w:textInput>
              <w:default w:val="[or Annex B (Payment Demand after Notice of Non-extension]"/>
            </w:textInput>
          </w:ffData>
        </w:fldChar>
      </w:r>
      <w:r w:rsidR="006D3CD5" w:rsidRPr="006D3CD5">
        <w:rPr>
          <w:rFonts w:asciiTheme="minorHAnsi" w:hAnsiTheme="minorHAnsi" w:cstheme="minorHAnsi"/>
          <w:b/>
          <w:bCs/>
          <w:highlight w:val="green"/>
        </w:rPr>
        <w:instrText xml:space="preserve"> FORMTEXT </w:instrText>
      </w:r>
      <w:r w:rsidR="006D3CD5" w:rsidRPr="006D3CD5">
        <w:rPr>
          <w:rFonts w:asciiTheme="minorHAnsi" w:hAnsiTheme="minorHAnsi" w:cstheme="minorHAnsi"/>
          <w:b/>
          <w:bCs/>
          <w:highlight w:val="green"/>
        </w:rPr>
      </w:r>
      <w:r w:rsidR="006D3CD5" w:rsidRPr="006D3CD5">
        <w:rPr>
          <w:rFonts w:asciiTheme="minorHAnsi" w:hAnsiTheme="minorHAnsi" w:cstheme="minorHAnsi"/>
          <w:b/>
          <w:bCs/>
          <w:highlight w:val="green"/>
        </w:rPr>
        <w:fldChar w:fldCharType="separate"/>
      </w:r>
      <w:r w:rsidR="006D3CD5" w:rsidRPr="006D3CD5">
        <w:rPr>
          <w:rFonts w:asciiTheme="minorHAnsi" w:hAnsiTheme="minorHAnsi" w:cstheme="minorHAnsi"/>
          <w:b/>
          <w:bCs/>
          <w:noProof/>
          <w:highlight w:val="green"/>
        </w:rPr>
        <w:t>[or Annex B (Payment Demand after Notice of Non-extension]</w:t>
      </w:r>
      <w:r w:rsidR="006D3CD5" w:rsidRPr="006D3CD5">
        <w:rPr>
          <w:rFonts w:asciiTheme="minorHAnsi" w:hAnsiTheme="minorHAnsi" w:cstheme="minorHAnsi"/>
          <w:b/>
          <w:bCs/>
          <w:highlight w:val="green"/>
        </w:rPr>
        <w:fldChar w:fldCharType="end"/>
      </w:r>
      <w:r w:rsidRPr="006A10A2">
        <w:rPr>
          <w:rStyle w:val="EndnoteReference"/>
          <w:rFonts w:asciiTheme="minorHAnsi" w:hAnsiTheme="minorHAnsi" w:cstheme="minorHAnsi"/>
          <w:color w:val="000000"/>
        </w:rPr>
        <w:endnoteReference w:id="9"/>
      </w:r>
      <w:r w:rsidRPr="006A10A2">
        <w:rPr>
          <w:rFonts w:asciiTheme="minorHAnsi" w:hAnsiTheme="minorHAnsi" w:cstheme="minorHAnsi"/>
          <w:color w:val="000000"/>
        </w:rPr>
        <w:t xml:space="preserve"> completed as indicated</w:t>
      </w:r>
      <w:r w:rsidRPr="006A10A2">
        <w:rPr>
          <w:rStyle w:val="EndnoteReference"/>
          <w:rFonts w:asciiTheme="minorHAnsi" w:hAnsiTheme="minorHAnsi" w:cstheme="minorHAnsi"/>
          <w:color w:val="000000"/>
        </w:rPr>
        <w:endnoteReference w:id="10"/>
      </w:r>
      <w:r w:rsidRPr="006A10A2">
        <w:rPr>
          <w:rFonts w:asciiTheme="minorHAnsi" w:hAnsiTheme="minorHAnsi" w:cstheme="minorHAnsi"/>
          <w:color w:val="000000"/>
        </w:rPr>
        <w:t xml:space="preserve"> and presented</w:t>
      </w:r>
      <w:bookmarkStart w:id="3" w:name="_Ref251138061"/>
      <w:r w:rsidRPr="006A10A2">
        <w:rPr>
          <w:rStyle w:val="EndnoteReference"/>
          <w:rFonts w:asciiTheme="minorHAnsi" w:hAnsiTheme="minorHAnsi" w:cstheme="minorHAnsi"/>
          <w:color w:val="000000"/>
        </w:rPr>
        <w:endnoteReference w:id="11"/>
      </w:r>
      <w:bookmarkEnd w:id="3"/>
      <w:r w:rsidRPr="006A10A2">
        <w:rPr>
          <w:rFonts w:asciiTheme="minorHAnsi" w:hAnsiTheme="minorHAnsi" w:cstheme="minorHAnsi"/>
          <w:color w:val="000000"/>
        </w:rPr>
        <w:t xml:space="preserve"> to Issuer at the following place for presentation: </w:t>
      </w:r>
      <w:r w:rsidR="006D3CD5" w:rsidRPr="006D3CD5">
        <w:rPr>
          <w:rFonts w:asciiTheme="minorHAnsi" w:hAnsiTheme="minorHAnsi" w:cstheme="minorHAnsi"/>
          <w:b/>
          <w:bCs/>
          <w:highlight w:val="yellow"/>
        </w:rPr>
        <w:fldChar w:fldCharType="begin">
          <w:ffData>
            <w:name w:val="Text8"/>
            <w:enabled/>
            <w:calcOnExit w:val="0"/>
            <w:textInput>
              <w:default w:val="[address of place for presentation]"/>
            </w:textInput>
          </w:ffData>
        </w:fldChar>
      </w:r>
      <w:r w:rsidR="006D3CD5" w:rsidRPr="006D3CD5">
        <w:rPr>
          <w:rFonts w:asciiTheme="minorHAnsi" w:hAnsiTheme="minorHAnsi" w:cstheme="minorHAnsi"/>
          <w:b/>
          <w:bCs/>
          <w:highlight w:val="yellow"/>
        </w:rPr>
        <w:instrText xml:space="preserve"> FORMTEXT </w:instrText>
      </w:r>
      <w:r w:rsidR="006D3CD5" w:rsidRPr="006D3CD5">
        <w:rPr>
          <w:rFonts w:asciiTheme="minorHAnsi" w:hAnsiTheme="minorHAnsi" w:cstheme="minorHAnsi"/>
          <w:b/>
          <w:bCs/>
          <w:highlight w:val="yellow"/>
        </w:rPr>
      </w:r>
      <w:r w:rsidR="006D3CD5" w:rsidRPr="006D3CD5">
        <w:rPr>
          <w:rFonts w:asciiTheme="minorHAnsi" w:hAnsiTheme="minorHAnsi" w:cstheme="minorHAnsi"/>
          <w:b/>
          <w:bCs/>
          <w:highlight w:val="yellow"/>
        </w:rPr>
        <w:fldChar w:fldCharType="separate"/>
      </w:r>
      <w:r w:rsidR="006D3CD5" w:rsidRPr="006D3CD5">
        <w:rPr>
          <w:rFonts w:asciiTheme="minorHAnsi" w:hAnsiTheme="minorHAnsi" w:cstheme="minorHAnsi"/>
          <w:b/>
          <w:bCs/>
          <w:noProof/>
          <w:highlight w:val="yellow"/>
        </w:rPr>
        <w:t>[address of place for presentation]</w:t>
      </w:r>
      <w:r w:rsidR="006D3CD5" w:rsidRPr="006D3CD5">
        <w:rPr>
          <w:rFonts w:asciiTheme="minorHAnsi" w:hAnsiTheme="minorHAnsi" w:cstheme="minorHAnsi"/>
          <w:b/>
          <w:bCs/>
          <w:highlight w:val="yellow"/>
        </w:rPr>
        <w:fldChar w:fldCharType="end"/>
      </w:r>
      <w:r w:rsidRPr="006A10A2">
        <w:rPr>
          <w:rFonts w:asciiTheme="minorHAnsi" w:hAnsiTheme="minorHAnsi" w:cstheme="minorHAnsi"/>
          <w:color w:val="000000"/>
        </w:rPr>
        <w:t>,</w:t>
      </w:r>
      <w:r w:rsidRPr="006A10A2">
        <w:rPr>
          <w:rStyle w:val="EndnoteReference"/>
          <w:rFonts w:asciiTheme="minorHAnsi" w:hAnsiTheme="minorHAnsi" w:cstheme="minorHAnsi"/>
          <w:color w:val="000000"/>
        </w:rPr>
        <w:endnoteReference w:id="12"/>
      </w:r>
      <w:r w:rsidRPr="006A10A2">
        <w:rPr>
          <w:rFonts w:asciiTheme="minorHAnsi" w:hAnsiTheme="minorHAnsi" w:cstheme="minorHAnsi"/>
          <w:color w:val="000000"/>
        </w:rPr>
        <w:t xml:space="preserve"> at or before the close of business</w:t>
      </w:r>
      <w:r w:rsidRPr="006A10A2">
        <w:rPr>
          <w:rStyle w:val="EndnoteReference"/>
          <w:rFonts w:asciiTheme="minorHAnsi" w:hAnsiTheme="minorHAnsi" w:cstheme="minorHAnsi"/>
          <w:color w:val="000000"/>
        </w:rPr>
        <w:endnoteReference w:id="13"/>
      </w:r>
      <w:r w:rsidRPr="006A10A2">
        <w:rPr>
          <w:rFonts w:asciiTheme="minorHAnsi" w:hAnsiTheme="minorHAnsi" w:cstheme="minorHAnsi"/>
          <w:color w:val="000000"/>
        </w:rPr>
        <w:t xml:space="preserve"> on the expiration date.</w:t>
      </w:r>
      <w:r w:rsidRPr="006A10A2">
        <w:rPr>
          <w:rStyle w:val="EndnoteReference"/>
          <w:rFonts w:asciiTheme="minorHAnsi" w:hAnsiTheme="minorHAnsi" w:cstheme="minorHAnsi"/>
        </w:rPr>
        <w:endnoteReference w:id="14"/>
      </w:r>
    </w:p>
    <w:p w14:paraId="6D127598"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right" w:pos="9360"/>
        </w:tabs>
        <w:rPr>
          <w:rFonts w:asciiTheme="minorHAnsi" w:hAnsiTheme="minorHAnsi" w:cstheme="minorHAnsi"/>
        </w:rPr>
      </w:pPr>
    </w:p>
    <w:p w14:paraId="783627AD"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right" w:pos="9360"/>
        </w:tabs>
        <w:rPr>
          <w:rFonts w:asciiTheme="minorHAnsi" w:hAnsiTheme="minorHAnsi" w:cstheme="minorHAnsi"/>
          <w:b/>
          <w:u w:val="single"/>
        </w:rPr>
      </w:pPr>
      <w:r w:rsidRPr="00A10985">
        <w:rPr>
          <w:rFonts w:asciiTheme="minorHAnsi" w:hAnsiTheme="minorHAnsi" w:cstheme="minorHAnsi"/>
          <w:b/>
          <w:u w:val="single"/>
        </w:rPr>
        <w:t>Overdrawing</w:t>
      </w:r>
    </w:p>
    <w:p w14:paraId="509D0192"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right" w:pos="9360"/>
        </w:tabs>
        <w:rPr>
          <w:rFonts w:asciiTheme="minorHAnsi" w:hAnsiTheme="minorHAnsi" w:cstheme="minorHAnsi"/>
          <w:color w:val="000000"/>
        </w:rPr>
      </w:pPr>
      <w:r w:rsidRPr="006A10A2">
        <w:rPr>
          <w:rFonts w:asciiTheme="minorHAnsi" w:hAnsiTheme="minorHAnsi" w:cstheme="minorHAnsi"/>
        </w:rPr>
        <w:t>If a demand exceeds the amount available, but the presentation otherwise complies, Issuer undertakes to pay the amount available.</w:t>
      </w:r>
      <w:r w:rsidRPr="006A10A2">
        <w:rPr>
          <w:rStyle w:val="EndnoteReference"/>
          <w:rFonts w:asciiTheme="minorHAnsi" w:hAnsiTheme="minorHAnsi" w:cstheme="minorHAnsi"/>
        </w:rPr>
        <w:endnoteReference w:id="15"/>
      </w:r>
    </w:p>
    <w:p w14:paraId="3252234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rPr>
      </w:pPr>
    </w:p>
    <w:p w14:paraId="141FD0C1"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Theme="minorHAnsi" w:hAnsiTheme="minorHAnsi" w:cstheme="minorHAnsi"/>
          <w:b/>
          <w:color w:val="000000"/>
          <w:u w:val="single"/>
        </w:rPr>
      </w:pPr>
      <w:r w:rsidRPr="00A10985">
        <w:rPr>
          <w:rFonts w:asciiTheme="minorHAnsi" w:hAnsiTheme="minorHAnsi" w:cstheme="minorHAnsi"/>
          <w:b/>
          <w:color w:val="000000"/>
          <w:u w:val="single"/>
        </w:rPr>
        <w:t>Expiration</w:t>
      </w:r>
    </w:p>
    <w:p w14:paraId="239848EB" w14:textId="71B144F4"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0"/>
        <w:rPr>
          <w:rFonts w:asciiTheme="minorHAnsi" w:hAnsiTheme="minorHAnsi" w:cstheme="minorHAnsi"/>
          <w:color w:val="000000"/>
        </w:rPr>
      </w:pPr>
      <w:r w:rsidRPr="006A10A2">
        <w:rPr>
          <w:rFonts w:asciiTheme="minorHAnsi" w:hAnsiTheme="minorHAnsi" w:cstheme="minorHAnsi"/>
          <w:color w:val="000000"/>
        </w:rPr>
        <w:t xml:space="preserve">The expiration date of this Standby is </w:t>
      </w:r>
      <w:r w:rsidR="006D3CD5" w:rsidRPr="006D3CD5">
        <w:rPr>
          <w:rFonts w:asciiTheme="minorHAnsi" w:hAnsiTheme="minorHAnsi" w:cstheme="minorHAnsi"/>
          <w:b/>
          <w:bCs/>
          <w:highlight w:val="yellow"/>
        </w:rPr>
        <w:fldChar w:fldCharType="begin">
          <w:ffData>
            <w:name w:val=""/>
            <w:enabled/>
            <w:calcOnExit w:val="0"/>
            <w:textInput>
              <w:default w:val="[specific calendar date, e.g., the date one year after issuance date]"/>
            </w:textInput>
          </w:ffData>
        </w:fldChar>
      </w:r>
      <w:r w:rsidR="006D3CD5" w:rsidRPr="006D3CD5">
        <w:rPr>
          <w:rFonts w:asciiTheme="minorHAnsi" w:hAnsiTheme="minorHAnsi" w:cstheme="minorHAnsi"/>
          <w:b/>
          <w:bCs/>
          <w:highlight w:val="yellow"/>
        </w:rPr>
        <w:instrText xml:space="preserve"> FORMTEXT </w:instrText>
      </w:r>
      <w:r w:rsidR="006D3CD5" w:rsidRPr="006D3CD5">
        <w:rPr>
          <w:rFonts w:asciiTheme="minorHAnsi" w:hAnsiTheme="minorHAnsi" w:cstheme="minorHAnsi"/>
          <w:b/>
          <w:bCs/>
          <w:highlight w:val="yellow"/>
        </w:rPr>
      </w:r>
      <w:r w:rsidR="006D3CD5" w:rsidRPr="006D3CD5">
        <w:rPr>
          <w:rFonts w:asciiTheme="minorHAnsi" w:hAnsiTheme="minorHAnsi" w:cstheme="minorHAnsi"/>
          <w:b/>
          <w:bCs/>
          <w:highlight w:val="yellow"/>
        </w:rPr>
        <w:fldChar w:fldCharType="separate"/>
      </w:r>
      <w:r w:rsidR="006D3CD5" w:rsidRPr="006D3CD5">
        <w:rPr>
          <w:rFonts w:asciiTheme="minorHAnsi" w:hAnsiTheme="minorHAnsi" w:cstheme="minorHAnsi"/>
          <w:b/>
          <w:bCs/>
          <w:noProof/>
          <w:highlight w:val="yellow"/>
        </w:rPr>
        <w:t>[specific calendar date, e.g., the date one year after issuance date]</w:t>
      </w:r>
      <w:r w:rsidR="006D3CD5" w:rsidRPr="006D3CD5">
        <w:rPr>
          <w:rFonts w:asciiTheme="minorHAnsi" w:hAnsiTheme="minorHAnsi" w:cstheme="minorHAnsi"/>
          <w:b/>
          <w:bCs/>
          <w:highlight w:val="yellow"/>
        </w:rPr>
        <w:fldChar w:fldCharType="end"/>
      </w:r>
      <w:r w:rsidRPr="006A10A2">
        <w:rPr>
          <w:rFonts w:asciiTheme="minorHAnsi" w:hAnsiTheme="minorHAnsi" w:cstheme="minorHAnsi"/>
          <w:color w:val="000000"/>
        </w:rPr>
        <w:t>.</w:t>
      </w:r>
      <w:r w:rsidRPr="006A10A2">
        <w:rPr>
          <w:rStyle w:val="EndnoteReference"/>
          <w:rFonts w:asciiTheme="minorHAnsi" w:hAnsiTheme="minorHAnsi" w:cstheme="minorHAnsi"/>
          <w:color w:val="000000"/>
        </w:rPr>
        <w:endnoteReference w:id="16"/>
      </w:r>
    </w:p>
    <w:p w14:paraId="243219D1"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rPr>
      </w:pPr>
    </w:p>
    <w:p w14:paraId="3115347A"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color w:val="000000"/>
          <w:u w:val="single"/>
        </w:rPr>
      </w:pPr>
      <w:r w:rsidRPr="00A10985">
        <w:rPr>
          <w:rFonts w:asciiTheme="minorHAnsi" w:hAnsiTheme="minorHAnsi" w:cstheme="minorHAnsi"/>
          <w:b/>
          <w:color w:val="000000"/>
          <w:u w:val="single"/>
        </w:rPr>
        <w:t>Automatic Extension</w:t>
      </w:r>
    </w:p>
    <w:p w14:paraId="158B0616" w14:textId="7D6DD93E"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color w:val="000000"/>
        </w:rPr>
        <w:lastRenderedPageBreak/>
        <w:t>The expiration date of this Standby shall be automatically extended</w:t>
      </w:r>
      <w:r w:rsidRPr="006A10A2">
        <w:rPr>
          <w:rStyle w:val="EndnoteReference"/>
          <w:rFonts w:asciiTheme="minorHAnsi" w:hAnsiTheme="minorHAnsi" w:cstheme="minorHAnsi"/>
          <w:color w:val="000000"/>
        </w:rPr>
        <w:endnoteReference w:id="17"/>
      </w:r>
      <w:r w:rsidRPr="006A10A2">
        <w:rPr>
          <w:rFonts w:asciiTheme="minorHAnsi" w:hAnsiTheme="minorHAnsi" w:cstheme="minorHAnsi"/>
          <w:color w:val="000000"/>
        </w:rPr>
        <w:t xml:space="preserve"> for successive one-year periods, unless </w:t>
      </w:r>
      <w:r w:rsidR="006D3CD5" w:rsidRPr="006D3CD5">
        <w:rPr>
          <w:rFonts w:asciiTheme="minorHAnsi" w:hAnsiTheme="minorHAnsi" w:cstheme="minorHAnsi"/>
          <w:b/>
          <w:bCs/>
          <w:highlight w:val="yellow"/>
        </w:rPr>
        <w:fldChar w:fldCharType="begin">
          <w:ffData>
            <w:name w:val=""/>
            <w:enabled/>
            <w:calcOnExit w:val="0"/>
            <w:textInput>
              <w:default w:val="[30]"/>
            </w:textInput>
          </w:ffData>
        </w:fldChar>
      </w:r>
      <w:r w:rsidR="006D3CD5" w:rsidRPr="006D3CD5">
        <w:rPr>
          <w:rFonts w:asciiTheme="minorHAnsi" w:hAnsiTheme="minorHAnsi" w:cstheme="minorHAnsi"/>
          <w:b/>
          <w:bCs/>
          <w:highlight w:val="yellow"/>
        </w:rPr>
        <w:instrText xml:space="preserve"> FORMTEXT </w:instrText>
      </w:r>
      <w:r w:rsidR="006D3CD5" w:rsidRPr="006D3CD5">
        <w:rPr>
          <w:rFonts w:asciiTheme="minorHAnsi" w:hAnsiTheme="minorHAnsi" w:cstheme="minorHAnsi"/>
          <w:b/>
          <w:bCs/>
          <w:highlight w:val="yellow"/>
        </w:rPr>
      </w:r>
      <w:r w:rsidR="006D3CD5" w:rsidRPr="006D3CD5">
        <w:rPr>
          <w:rFonts w:asciiTheme="minorHAnsi" w:hAnsiTheme="minorHAnsi" w:cstheme="minorHAnsi"/>
          <w:b/>
          <w:bCs/>
          <w:highlight w:val="yellow"/>
        </w:rPr>
        <w:fldChar w:fldCharType="separate"/>
      </w:r>
      <w:r w:rsidR="006D3CD5" w:rsidRPr="006D3CD5">
        <w:rPr>
          <w:rFonts w:asciiTheme="minorHAnsi" w:hAnsiTheme="minorHAnsi" w:cstheme="minorHAnsi"/>
          <w:b/>
          <w:bCs/>
          <w:noProof/>
          <w:highlight w:val="yellow"/>
        </w:rPr>
        <w:t>[30]</w:t>
      </w:r>
      <w:r w:rsidR="006D3CD5" w:rsidRPr="006D3CD5">
        <w:rPr>
          <w:rFonts w:asciiTheme="minorHAnsi" w:hAnsiTheme="minorHAnsi" w:cstheme="minorHAnsi"/>
          <w:b/>
          <w:bCs/>
          <w:highlight w:val="yellow"/>
        </w:rPr>
        <w:fldChar w:fldCharType="end"/>
      </w:r>
      <w:r w:rsidRPr="006A10A2">
        <w:rPr>
          <w:rStyle w:val="EndnoteReference"/>
          <w:rFonts w:asciiTheme="minorHAnsi" w:hAnsiTheme="minorHAnsi" w:cstheme="minorHAnsi"/>
          <w:color w:val="000000"/>
        </w:rPr>
        <w:endnoteReference w:id="18"/>
      </w:r>
      <w:r w:rsidRPr="006A10A2">
        <w:rPr>
          <w:rFonts w:asciiTheme="minorHAnsi" w:hAnsiTheme="minorHAnsi" w:cstheme="minorHAnsi"/>
          <w:color w:val="000000"/>
        </w:rPr>
        <w:t xml:space="preserve"> or more calendar days before the then current expiration date </w:t>
      </w:r>
      <w:r w:rsidRPr="006A10A2">
        <w:rPr>
          <w:rFonts w:asciiTheme="minorHAnsi" w:hAnsiTheme="minorHAnsi" w:cstheme="minorHAnsi"/>
        </w:rPr>
        <w:t>Issuer gives written notice to Beneficiary that Issuer elects</w:t>
      </w:r>
      <w:r w:rsidRPr="006A10A2">
        <w:rPr>
          <w:rStyle w:val="EndnoteReference"/>
          <w:rFonts w:asciiTheme="minorHAnsi" w:hAnsiTheme="minorHAnsi" w:cstheme="minorHAnsi"/>
        </w:rPr>
        <w:endnoteReference w:id="19"/>
      </w:r>
      <w:r w:rsidRPr="006A10A2">
        <w:rPr>
          <w:rFonts w:asciiTheme="minorHAnsi" w:hAnsiTheme="minorHAnsi" w:cstheme="minorHAnsi"/>
        </w:rPr>
        <w:t xml:space="preserve"> not to extend the expiration date. Issuer's written notice must be sent</w:t>
      </w:r>
      <w:r w:rsidRPr="006A10A2">
        <w:rPr>
          <w:rStyle w:val="EndnoteReference"/>
          <w:rFonts w:asciiTheme="minorHAnsi" w:hAnsiTheme="minorHAnsi" w:cstheme="minorHAnsi"/>
        </w:rPr>
        <w:endnoteReference w:id="20"/>
      </w:r>
      <w:r w:rsidRPr="006A10A2">
        <w:rPr>
          <w:rFonts w:asciiTheme="minorHAnsi" w:hAnsiTheme="minorHAnsi" w:cstheme="minorHAnsi"/>
          <w:i/>
        </w:rPr>
        <w:t xml:space="preserve"> </w:t>
      </w:r>
      <w:r w:rsidR="006D3CD5" w:rsidRPr="006D3CD5">
        <w:rPr>
          <w:rFonts w:asciiTheme="minorHAnsi" w:hAnsiTheme="minorHAnsi" w:cstheme="minorHAnsi"/>
          <w:b/>
          <w:bCs/>
          <w:highlight w:val="green"/>
        </w:rPr>
        <w:fldChar w:fldCharType="begin">
          <w:ffData>
            <w:name w:val=""/>
            <w:enabled/>
            <w:calcOnExit w:val="0"/>
            <w:textInput>
              <w:default w:val="[by registered, certified, or priority express mail or nationally recognized overnight courier]"/>
            </w:textInput>
          </w:ffData>
        </w:fldChar>
      </w:r>
      <w:r w:rsidR="006D3CD5" w:rsidRPr="006D3CD5">
        <w:rPr>
          <w:rFonts w:asciiTheme="minorHAnsi" w:hAnsiTheme="minorHAnsi" w:cstheme="minorHAnsi"/>
          <w:b/>
          <w:bCs/>
          <w:highlight w:val="green"/>
        </w:rPr>
        <w:instrText xml:space="preserve"> FORMTEXT </w:instrText>
      </w:r>
      <w:r w:rsidR="006D3CD5" w:rsidRPr="006D3CD5">
        <w:rPr>
          <w:rFonts w:asciiTheme="minorHAnsi" w:hAnsiTheme="minorHAnsi" w:cstheme="minorHAnsi"/>
          <w:b/>
          <w:bCs/>
          <w:highlight w:val="green"/>
        </w:rPr>
      </w:r>
      <w:r w:rsidR="006D3CD5" w:rsidRPr="006D3CD5">
        <w:rPr>
          <w:rFonts w:asciiTheme="minorHAnsi" w:hAnsiTheme="minorHAnsi" w:cstheme="minorHAnsi"/>
          <w:b/>
          <w:bCs/>
          <w:highlight w:val="green"/>
        </w:rPr>
        <w:fldChar w:fldCharType="separate"/>
      </w:r>
      <w:r w:rsidR="006D3CD5" w:rsidRPr="006D3CD5">
        <w:rPr>
          <w:rFonts w:asciiTheme="minorHAnsi" w:hAnsiTheme="minorHAnsi" w:cstheme="minorHAnsi"/>
          <w:b/>
          <w:bCs/>
          <w:noProof/>
          <w:highlight w:val="green"/>
        </w:rPr>
        <w:t>[by registered, certified, or priority express mail or nationally recognized overnight courier]</w:t>
      </w:r>
      <w:r w:rsidR="006D3CD5" w:rsidRPr="006D3CD5">
        <w:rPr>
          <w:rFonts w:asciiTheme="minorHAnsi" w:hAnsiTheme="minorHAnsi" w:cstheme="minorHAnsi"/>
          <w:b/>
          <w:bCs/>
          <w:highlight w:val="green"/>
        </w:rPr>
        <w:fldChar w:fldCharType="end"/>
      </w:r>
      <w:r w:rsidR="006D3CD5" w:rsidRPr="002B1402">
        <w:rPr>
          <w:rFonts w:asciiTheme="minorHAnsi" w:hAnsiTheme="minorHAnsi" w:cstheme="minorHAnsi"/>
          <w:iCs/>
        </w:rPr>
        <w:t xml:space="preserve"> </w:t>
      </w:r>
      <w:r w:rsidR="006D3CD5" w:rsidRPr="006A10A2">
        <w:rPr>
          <w:rFonts w:asciiTheme="minorHAnsi" w:hAnsiTheme="minorHAnsi" w:cstheme="minorHAnsi"/>
        </w:rPr>
        <w:t>to</w:t>
      </w:r>
      <w:r w:rsidR="006D3CD5">
        <w:rPr>
          <w:rFonts w:asciiTheme="minorHAnsi" w:hAnsiTheme="minorHAnsi" w:cstheme="minorHAnsi"/>
        </w:rPr>
        <w:t xml:space="preserve"> </w:t>
      </w:r>
      <w:r w:rsidR="006D3CD5" w:rsidRPr="006A10A2">
        <w:rPr>
          <w:rFonts w:asciiTheme="minorHAnsi" w:hAnsiTheme="minorHAnsi" w:cstheme="minorHAnsi"/>
        </w:rPr>
        <w:t xml:space="preserve">Beneficiary’s above-stated </w:t>
      </w:r>
      <w:r w:rsidR="006D3CD5" w:rsidRPr="00AF64FD">
        <w:rPr>
          <w:rFonts w:asciiTheme="minorHAnsi" w:hAnsiTheme="minorHAnsi" w:cstheme="minorHAnsi"/>
        </w:rPr>
        <w:t>address</w:t>
      </w:r>
      <w:r w:rsidR="006D3CD5">
        <w:rPr>
          <w:rFonts w:asciiTheme="minorHAnsi" w:hAnsiTheme="minorHAnsi" w:cstheme="minorHAnsi"/>
        </w:rPr>
        <w:t xml:space="preserve"> </w:t>
      </w:r>
      <w:r w:rsidR="006D3CD5" w:rsidRPr="006D3CD5">
        <w:rPr>
          <w:rFonts w:asciiTheme="minorHAnsi" w:hAnsiTheme="minorHAnsi" w:cstheme="minorHAnsi"/>
          <w:b/>
          <w:bCs/>
          <w:highlight w:val="green"/>
        </w:rPr>
        <w:fldChar w:fldCharType="begin">
          <w:ffData>
            <w:name w:val=""/>
            <w:enabled/>
            <w:calcOnExit w:val="0"/>
            <w:textInput>
              <w:default w:val="[and to the attention of [office, officer, or other attention party] or, alternatively, be received by Beneficiary's attention party]"/>
            </w:textInput>
          </w:ffData>
        </w:fldChar>
      </w:r>
      <w:r w:rsidR="006D3CD5" w:rsidRPr="006D3CD5">
        <w:rPr>
          <w:rFonts w:asciiTheme="minorHAnsi" w:hAnsiTheme="minorHAnsi" w:cstheme="minorHAnsi"/>
          <w:b/>
          <w:bCs/>
          <w:highlight w:val="green"/>
        </w:rPr>
        <w:instrText xml:space="preserve"> FORMTEXT </w:instrText>
      </w:r>
      <w:r w:rsidR="006D3CD5" w:rsidRPr="006D3CD5">
        <w:rPr>
          <w:rFonts w:asciiTheme="minorHAnsi" w:hAnsiTheme="minorHAnsi" w:cstheme="minorHAnsi"/>
          <w:b/>
          <w:bCs/>
          <w:highlight w:val="green"/>
        </w:rPr>
      </w:r>
      <w:r w:rsidR="006D3CD5" w:rsidRPr="006D3CD5">
        <w:rPr>
          <w:rFonts w:asciiTheme="minorHAnsi" w:hAnsiTheme="minorHAnsi" w:cstheme="minorHAnsi"/>
          <w:b/>
          <w:bCs/>
          <w:highlight w:val="green"/>
        </w:rPr>
        <w:fldChar w:fldCharType="separate"/>
      </w:r>
      <w:r w:rsidR="006D3CD5" w:rsidRPr="006D3CD5">
        <w:rPr>
          <w:rFonts w:asciiTheme="minorHAnsi" w:hAnsiTheme="minorHAnsi" w:cstheme="minorHAnsi"/>
          <w:b/>
          <w:bCs/>
          <w:noProof/>
          <w:highlight w:val="green"/>
        </w:rPr>
        <w:t>[and to the attention of [office, officer, or other attention party] or, alternatively, be received by Beneficiary's attention party]</w:t>
      </w:r>
      <w:r w:rsidR="006D3CD5" w:rsidRPr="006D3CD5">
        <w:rPr>
          <w:rFonts w:asciiTheme="minorHAnsi" w:hAnsiTheme="minorHAnsi" w:cstheme="minorHAnsi"/>
          <w:b/>
          <w:bCs/>
          <w:highlight w:val="green"/>
        </w:rPr>
        <w:fldChar w:fldCharType="end"/>
      </w:r>
      <w:r w:rsidR="006D3CD5">
        <w:rPr>
          <w:rFonts w:asciiTheme="minorHAnsi" w:hAnsiTheme="minorHAnsi" w:cstheme="minorHAnsi"/>
        </w:rPr>
        <w:t xml:space="preserve"> </w:t>
      </w:r>
      <w:r w:rsidR="006D3CD5" w:rsidRPr="006D3CD5">
        <w:rPr>
          <w:rFonts w:asciiTheme="minorHAnsi" w:hAnsiTheme="minorHAnsi" w:cstheme="minorHAnsi"/>
          <w:b/>
          <w:bCs/>
          <w:highlight w:val="yellow"/>
        </w:rPr>
        <w:fldChar w:fldCharType="begin">
          <w:ffData>
            <w:name w:val=""/>
            <w:enabled/>
            <w:calcOnExit w:val="0"/>
            <w:textInput>
              <w:default w:val="[30]"/>
            </w:textInput>
          </w:ffData>
        </w:fldChar>
      </w:r>
      <w:r w:rsidR="006D3CD5" w:rsidRPr="006D3CD5">
        <w:rPr>
          <w:rFonts w:asciiTheme="minorHAnsi" w:hAnsiTheme="minorHAnsi" w:cstheme="minorHAnsi"/>
          <w:b/>
          <w:bCs/>
          <w:highlight w:val="yellow"/>
        </w:rPr>
        <w:instrText xml:space="preserve"> FORMTEXT </w:instrText>
      </w:r>
      <w:r w:rsidR="006D3CD5" w:rsidRPr="006D3CD5">
        <w:rPr>
          <w:rFonts w:asciiTheme="minorHAnsi" w:hAnsiTheme="minorHAnsi" w:cstheme="minorHAnsi"/>
          <w:b/>
          <w:bCs/>
          <w:highlight w:val="yellow"/>
        </w:rPr>
      </w:r>
      <w:r w:rsidR="006D3CD5" w:rsidRPr="006D3CD5">
        <w:rPr>
          <w:rFonts w:asciiTheme="minorHAnsi" w:hAnsiTheme="minorHAnsi" w:cstheme="minorHAnsi"/>
          <w:b/>
          <w:bCs/>
          <w:highlight w:val="yellow"/>
        </w:rPr>
        <w:fldChar w:fldCharType="separate"/>
      </w:r>
      <w:r w:rsidR="006D3CD5" w:rsidRPr="006D3CD5">
        <w:rPr>
          <w:rFonts w:asciiTheme="minorHAnsi" w:hAnsiTheme="minorHAnsi" w:cstheme="minorHAnsi"/>
          <w:b/>
          <w:bCs/>
          <w:noProof/>
          <w:highlight w:val="yellow"/>
        </w:rPr>
        <w:t>[30]</w:t>
      </w:r>
      <w:r w:rsidR="006D3CD5" w:rsidRPr="006D3CD5">
        <w:rPr>
          <w:rFonts w:asciiTheme="minorHAnsi" w:hAnsiTheme="minorHAnsi" w:cstheme="minorHAnsi"/>
          <w:b/>
          <w:bCs/>
          <w:highlight w:val="yellow"/>
        </w:rPr>
        <w:fldChar w:fldCharType="end"/>
      </w:r>
      <w:r w:rsidR="006D3CD5" w:rsidRPr="006A10A2">
        <w:rPr>
          <w:rFonts w:asciiTheme="minorHAnsi" w:hAnsiTheme="minorHAnsi" w:cstheme="minorHAnsi"/>
        </w:rPr>
        <w:t xml:space="preserve"> or more calendar days before the then current expiration date.</w:t>
      </w:r>
      <w:r w:rsidR="006D3CD5" w:rsidRPr="006A10A2">
        <w:rPr>
          <w:rFonts w:asciiTheme="minorHAnsi" w:hAnsiTheme="minorHAnsi" w:cstheme="minorHAnsi"/>
          <w:i/>
          <w:color w:val="FF0000"/>
        </w:rPr>
        <w:t xml:space="preserve"> </w:t>
      </w:r>
      <w:r w:rsidR="006D3CD5" w:rsidRPr="006A10A2">
        <w:rPr>
          <w:rFonts w:asciiTheme="minorHAnsi" w:hAnsiTheme="minorHAnsi" w:cstheme="minorHAnsi"/>
          <w:color w:val="000000"/>
        </w:rPr>
        <w:t xml:space="preserve">The expiration date is not subject to </w:t>
      </w:r>
      <w:r w:rsidR="006D3CD5" w:rsidRPr="006A10A2">
        <w:rPr>
          <w:rFonts w:asciiTheme="minorHAnsi" w:hAnsiTheme="minorHAnsi" w:cstheme="minorHAnsi"/>
        </w:rPr>
        <w:t>automatic extension beyond</w:t>
      </w:r>
      <w:r w:rsidR="006D3CD5">
        <w:rPr>
          <w:rFonts w:asciiTheme="minorHAnsi" w:hAnsiTheme="minorHAnsi" w:cstheme="minorHAnsi"/>
        </w:rPr>
        <w:t xml:space="preserve"> </w:t>
      </w:r>
      <w:r w:rsidR="006D3CD5" w:rsidRPr="006D3CD5">
        <w:rPr>
          <w:rFonts w:asciiTheme="minorHAnsi" w:hAnsiTheme="minorHAnsi" w:cstheme="minorHAnsi"/>
          <w:b/>
          <w:bCs/>
          <w:highlight w:val="yellow"/>
        </w:rPr>
        <w:fldChar w:fldCharType="begin">
          <w:ffData>
            <w:name w:val=""/>
            <w:enabled/>
            <w:calcOnExit w:val="0"/>
            <w:textInput>
              <w:default w:val="[specific calendar date, e.g., the date five years after issuance date]"/>
            </w:textInput>
          </w:ffData>
        </w:fldChar>
      </w:r>
      <w:r w:rsidR="006D3CD5" w:rsidRPr="006D3CD5">
        <w:rPr>
          <w:rFonts w:asciiTheme="minorHAnsi" w:hAnsiTheme="minorHAnsi" w:cstheme="minorHAnsi"/>
          <w:b/>
          <w:bCs/>
          <w:highlight w:val="yellow"/>
        </w:rPr>
        <w:instrText xml:space="preserve"> FORMTEXT </w:instrText>
      </w:r>
      <w:r w:rsidR="006D3CD5" w:rsidRPr="006D3CD5">
        <w:rPr>
          <w:rFonts w:asciiTheme="minorHAnsi" w:hAnsiTheme="minorHAnsi" w:cstheme="minorHAnsi"/>
          <w:b/>
          <w:bCs/>
          <w:highlight w:val="yellow"/>
        </w:rPr>
      </w:r>
      <w:r w:rsidR="006D3CD5" w:rsidRPr="006D3CD5">
        <w:rPr>
          <w:rFonts w:asciiTheme="minorHAnsi" w:hAnsiTheme="minorHAnsi" w:cstheme="minorHAnsi"/>
          <w:b/>
          <w:bCs/>
          <w:highlight w:val="yellow"/>
        </w:rPr>
        <w:fldChar w:fldCharType="separate"/>
      </w:r>
      <w:r w:rsidR="006D3CD5" w:rsidRPr="006D3CD5">
        <w:rPr>
          <w:rFonts w:asciiTheme="minorHAnsi" w:hAnsiTheme="minorHAnsi" w:cstheme="minorHAnsi"/>
          <w:b/>
          <w:bCs/>
          <w:noProof/>
          <w:highlight w:val="yellow"/>
        </w:rPr>
        <w:t>[specific calendar date, e.g., the date five years after issuance date]</w:t>
      </w:r>
      <w:r w:rsidR="006D3CD5" w:rsidRPr="006D3CD5">
        <w:rPr>
          <w:rFonts w:asciiTheme="minorHAnsi" w:hAnsiTheme="minorHAnsi" w:cstheme="minorHAnsi"/>
          <w:b/>
          <w:bCs/>
          <w:highlight w:val="yellow"/>
        </w:rPr>
        <w:fldChar w:fldCharType="end"/>
      </w:r>
      <w:r w:rsidR="006D3CD5" w:rsidRPr="006A10A2">
        <w:rPr>
          <w:rFonts w:asciiTheme="minorHAnsi" w:hAnsiTheme="minorHAnsi" w:cstheme="minorHAnsi"/>
        </w:rPr>
        <w:t>, and any pending automatic one-year extension shall be ineffective beyond that date.</w:t>
      </w:r>
      <w:r w:rsidRPr="006A10A2">
        <w:rPr>
          <w:rStyle w:val="EndnoteReference"/>
          <w:rFonts w:asciiTheme="minorHAnsi" w:hAnsiTheme="minorHAnsi" w:cstheme="minorHAnsi"/>
        </w:rPr>
        <w:endnoteReference w:id="21"/>
      </w:r>
    </w:p>
    <w:p w14:paraId="117544B3" w14:textId="77777777" w:rsidR="0025716F"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5AD93E2C"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u w:val="single"/>
        </w:rPr>
      </w:pPr>
      <w:r w:rsidRPr="00A10985">
        <w:rPr>
          <w:rFonts w:asciiTheme="minorHAnsi" w:hAnsiTheme="minorHAnsi" w:cstheme="minorHAnsi"/>
          <w:b/>
          <w:u w:val="single"/>
        </w:rPr>
        <w:t>Payment</w:t>
      </w:r>
    </w:p>
    <w:p w14:paraId="5B331232"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Payment against a complying presentation shall be made within three business days after presentation</w:t>
      </w:r>
      <w:r w:rsidRPr="006A10A2">
        <w:rPr>
          <w:rStyle w:val="EndnoteReference"/>
          <w:rFonts w:asciiTheme="minorHAnsi" w:hAnsiTheme="minorHAnsi" w:cstheme="minorHAnsi"/>
        </w:rPr>
        <w:t xml:space="preserve"> </w:t>
      </w:r>
      <w:r w:rsidRPr="006A10A2">
        <w:rPr>
          <w:rStyle w:val="EndnoteReference"/>
          <w:rFonts w:asciiTheme="minorHAnsi" w:hAnsiTheme="minorHAnsi" w:cstheme="minorHAnsi"/>
        </w:rPr>
        <w:endnoteReference w:id="22"/>
      </w:r>
      <w:r w:rsidRPr="006A10A2">
        <w:rPr>
          <w:rFonts w:asciiTheme="minorHAnsi" w:hAnsiTheme="minorHAnsi" w:cstheme="minorHAnsi"/>
        </w:rPr>
        <w:t xml:space="preserve"> at the place for presentation or by wire transfer to a duly requested account of Beneficiary.</w:t>
      </w:r>
      <w:r w:rsidRPr="006A10A2">
        <w:rPr>
          <w:rStyle w:val="EndnoteReference"/>
          <w:rFonts w:asciiTheme="minorHAnsi" w:hAnsiTheme="minorHAnsi" w:cstheme="minorHAnsi"/>
        </w:rPr>
        <w:endnoteReference w:id="23"/>
      </w:r>
    </w:p>
    <w:p w14:paraId="514DFDCD"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380E820E"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u w:val="single"/>
        </w:rPr>
      </w:pPr>
      <w:r w:rsidRPr="00A10985">
        <w:rPr>
          <w:rFonts w:asciiTheme="minorHAnsi" w:hAnsiTheme="minorHAnsi" w:cstheme="minorHAnsi"/>
          <w:b/>
          <w:u w:val="single"/>
        </w:rPr>
        <w:t>ISP98</w:t>
      </w:r>
    </w:p>
    <w:p w14:paraId="1FA03219"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This Standby is issued subject to the International Standby Practices 1998 (ISP98) (International Chamber of Commerce Publication No. 590).</w:t>
      </w:r>
      <w:r w:rsidRPr="006A10A2">
        <w:rPr>
          <w:rFonts w:asciiTheme="minorHAnsi" w:hAnsiTheme="minorHAnsi" w:cstheme="minorHAnsi"/>
          <w:vertAlign w:val="superscript"/>
        </w:rPr>
        <w:endnoteReference w:id="24"/>
      </w:r>
    </w:p>
    <w:p w14:paraId="5FAEA8D8" w14:textId="77777777" w:rsidR="0025716F" w:rsidRPr="006A10A2" w:rsidRDefault="0025716F" w:rsidP="0025716F">
      <w:pPr>
        <w:rPr>
          <w:rFonts w:asciiTheme="minorHAnsi" w:hAnsiTheme="minorHAnsi" w:cstheme="minorHAnsi"/>
        </w:rPr>
      </w:pPr>
    </w:p>
    <w:p w14:paraId="4A905669" w14:textId="77777777" w:rsidR="00A10985" w:rsidRPr="00A1098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u w:val="single"/>
        </w:rPr>
      </w:pPr>
      <w:proofErr w:type="gramStart"/>
      <w:r w:rsidRPr="00A10985">
        <w:rPr>
          <w:rFonts w:asciiTheme="minorHAnsi" w:hAnsiTheme="minorHAnsi" w:cstheme="minorHAnsi"/>
          <w:b/>
          <w:u w:val="single"/>
        </w:rPr>
        <w:t>Issuer’s</w:t>
      </w:r>
      <w:proofErr w:type="gramEnd"/>
      <w:r w:rsidRPr="00A10985">
        <w:rPr>
          <w:rFonts w:asciiTheme="minorHAnsi" w:hAnsiTheme="minorHAnsi" w:cstheme="minorHAnsi"/>
          <w:b/>
          <w:u w:val="single"/>
        </w:rPr>
        <w:t xml:space="preserve"> Charges and Fees</w:t>
      </w:r>
    </w:p>
    <w:p w14:paraId="1E4FE239" w14:textId="651B9CF5"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 xml:space="preserve">Issuer’s charges and fees for issuing, amending, or honoring this Standby are for Applicant’s account and shall not be deducted from any payment Issuer makes under this Standby. </w:t>
      </w:r>
      <w:r w:rsidR="006D3CD5" w:rsidRPr="006D3CD5">
        <w:rPr>
          <w:rFonts w:asciiTheme="minorHAnsi" w:hAnsiTheme="minorHAnsi" w:cstheme="minorHAnsi"/>
          <w:b/>
          <w:bCs/>
          <w:highlight w:val="green"/>
        </w:rPr>
        <w:fldChar w:fldCharType="begin">
          <w:ffData>
            <w:name w:val=""/>
            <w:enabled/>
            <w:calcOnExit w:val="0"/>
            <w:textInput>
              <w:default w:val="[Issuer undertakes to Beneficiary to pay the charges and fees of any bank nominated in this Standby to advise [and confirm] this Standby for acting on such nomination.]"/>
            </w:textInput>
          </w:ffData>
        </w:fldChar>
      </w:r>
      <w:r w:rsidR="006D3CD5" w:rsidRPr="006D3CD5">
        <w:rPr>
          <w:rFonts w:asciiTheme="minorHAnsi" w:hAnsiTheme="minorHAnsi" w:cstheme="minorHAnsi"/>
          <w:b/>
          <w:bCs/>
          <w:highlight w:val="green"/>
        </w:rPr>
        <w:instrText xml:space="preserve"> FORMTEXT </w:instrText>
      </w:r>
      <w:r w:rsidR="006D3CD5" w:rsidRPr="006D3CD5">
        <w:rPr>
          <w:rFonts w:asciiTheme="minorHAnsi" w:hAnsiTheme="minorHAnsi" w:cstheme="minorHAnsi"/>
          <w:b/>
          <w:bCs/>
          <w:highlight w:val="green"/>
        </w:rPr>
      </w:r>
      <w:r w:rsidR="006D3CD5" w:rsidRPr="006D3CD5">
        <w:rPr>
          <w:rFonts w:asciiTheme="minorHAnsi" w:hAnsiTheme="minorHAnsi" w:cstheme="minorHAnsi"/>
          <w:b/>
          <w:bCs/>
          <w:highlight w:val="green"/>
        </w:rPr>
        <w:fldChar w:fldCharType="separate"/>
      </w:r>
      <w:r w:rsidR="006D3CD5" w:rsidRPr="006D3CD5">
        <w:rPr>
          <w:rFonts w:asciiTheme="minorHAnsi" w:hAnsiTheme="minorHAnsi" w:cstheme="minorHAnsi"/>
          <w:b/>
          <w:bCs/>
          <w:noProof/>
          <w:highlight w:val="green"/>
        </w:rPr>
        <w:t>[Issuer undertakes to Beneficiary to pay the charges and fees of any bank nominated in this Standby to advise [and confirm] this Standby for acting on such nomination.]</w:t>
      </w:r>
      <w:r w:rsidR="006D3CD5" w:rsidRPr="006D3CD5">
        <w:rPr>
          <w:rFonts w:asciiTheme="minorHAnsi" w:hAnsiTheme="minorHAnsi" w:cstheme="minorHAnsi"/>
          <w:b/>
          <w:bCs/>
          <w:highlight w:val="green"/>
        </w:rPr>
        <w:fldChar w:fldCharType="end"/>
      </w:r>
      <w:r w:rsidRPr="006A10A2">
        <w:rPr>
          <w:rStyle w:val="EndnoteReference"/>
          <w:rFonts w:asciiTheme="minorHAnsi" w:hAnsiTheme="minorHAnsi" w:cstheme="minorHAnsi"/>
        </w:rPr>
        <w:endnoteReference w:id="25"/>
      </w:r>
      <w:r w:rsidRPr="006A10A2">
        <w:rPr>
          <w:rFonts w:asciiTheme="minorHAnsi" w:hAnsiTheme="minorHAnsi" w:cstheme="minorHAnsi"/>
        </w:rPr>
        <w:t xml:space="preserve"> </w:t>
      </w:r>
    </w:p>
    <w:p w14:paraId="79A663A5" w14:textId="77777777" w:rsidR="0025716F" w:rsidRPr="006A10A2" w:rsidRDefault="0025716F" w:rsidP="0025716F">
      <w:pPr>
        <w:rPr>
          <w:rFonts w:asciiTheme="minorHAnsi" w:hAnsiTheme="minorHAnsi" w:cstheme="minorHAnsi"/>
        </w:rPr>
      </w:pPr>
    </w:p>
    <w:p w14:paraId="54A0C1D5" w14:textId="77777777" w:rsidR="006D3CD5" w:rsidRPr="00AF64FD"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Cs w:val="24"/>
        </w:rPr>
      </w:pPr>
      <w:bookmarkStart w:id="4" w:name="_Ref251138259"/>
      <w:r w:rsidRPr="00AF64FD">
        <w:rPr>
          <w:rFonts w:asciiTheme="minorHAnsi" w:hAnsiTheme="minorHAnsi" w:cstheme="minorHAnsi"/>
          <w:b/>
          <w:szCs w:val="24"/>
          <w:u w:val="single"/>
        </w:rPr>
        <w:t>Communications</w:t>
      </w:r>
    </w:p>
    <w:p w14:paraId="46B0C61F" w14:textId="3638DC60" w:rsidR="0025716F" w:rsidRPr="006A10A2"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Emphasis"/>
          <w:rFonts w:asciiTheme="minorHAnsi" w:hAnsiTheme="minorHAnsi" w:cstheme="minorHAnsi"/>
        </w:rPr>
      </w:pPr>
      <w:r w:rsidRPr="00AF64FD">
        <w:rPr>
          <w:rFonts w:asciiTheme="minorHAnsi" w:hAnsiTheme="minorHAnsi" w:cstheme="minorHAnsi"/>
          <w:szCs w:val="24"/>
        </w:rPr>
        <w:t>C</w:t>
      </w:r>
      <w:r w:rsidRPr="00AF64FD">
        <w:rPr>
          <w:rStyle w:val="Emphasis"/>
          <w:rFonts w:asciiTheme="minorHAnsi" w:hAnsiTheme="minorHAnsi" w:cstheme="minorHAnsi"/>
          <w:i w:val="0"/>
          <w:iCs w:val="0"/>
          <w:szCs w:val="24"/>
        </w:rPr>
        <w:t>ommunications</w:t>
      </w:r>
      <w:r w:rsidRPr="00AF64FD">
        <w:rPr>
          <w:rStyle w:val="Emphasis"/>
          <w:rFonts w:asciiTheme="minorHAnsi" w:hAnsiTheme="minorHAnsi" w:cstheme="minorHAnsi"/>
          <w:szCs w:val="24"/>
        </w:rPr>
        <w:t xml:space="preserve"> </w:t>
      </w:r>
      <w:r w:rsidRPr="00AF64FD">
        <w:rPr>
          <w:rFonts w:asciiTheme="minorHAnsi" w:hAnsiTheme="minorHAnsi" w:cstheme="minorHAnsi"/>
        </w:rPr>
        <w:t>other than demands may be made to Issuer in the manner and at the place for presentation and also as follows:</w:t>
      </w:r>
      <w:r>
        <w:rPr>
          <w:rFonts w:asciiTheme="minorHAnsi" w:hAnsiTheme="minorHAnsi" w:cstheme="minorHAnsi"/>
        </w:rPr>
        <w:t xml:space="preserve"> </w:t>
      </w:r>
      <w:r w:rsidRPr="00F8274C">
        <w:rPr>
          <w:rFonts w:asciiTheme="minorHAnsi" w:hAnsiTheme="minorHAnsi" w:cstheme="minorHAnsi"/>
          <w:b/>
          <w:bCs/>
          <w:highlight w:val="yellow"/>
        </w:rPr>
        <w:fldChar w:fldCharType="begin">
          <w:ffData>
            <w:name w:val=""/>
            <w:enabled/>
            <w:calcOnExit w:val="0"/>
            <w:textInput>
              <w:default w:val="[addresses for mailed, couriered, telephone, telefax, or electronic communications]"/>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[addresses for mailed, couriered, telephone, telefax, or electronic communications]</w:t>
      </w:r>
      <w:r w:rsidRPr="00F8274C">
        <w:rPr>
          <w:rFonts w:asciiTheme="minorHAnsi" w:hAnsiTheme="minorHAnsi" w:cstheme="minorHAnsi"/>
          <w:b/>
          <w:bCs/>
          <w:highlight w:val="yellow"/>
        </w:rPr>
        <w:fldChar w:fldCharType="end"/>
      </w:r>
      <w:r w:rsidRPr="00AF64FD">
        <w:rPr>
          <w:rFonts w:asciiTheme="minorHAnsi" w:hAnsiTheme="minorHAnsi" w:cstheme="minorHAnsi"/>
        </w:rPr>
        <w:t>. Communications other than for notices of non-extension may be made to Beneficiary at Beneficiary’s above-stated address and also as follows:</w:t>
      </w:r>
      <w:r>
        <w:rPr>
          <w:rFonts w:asciiTheme="minorHAnsi" w:hAnsiTheme="minorHAnsi" w:cstheme="minorHAnsi"/>
        </w:rPr>
        <w:t xml:space="preserve"> </w:t>
      </w:r>
      <w:r w:rsidRPr="00F8274C">
        <w:rPr>
          <w:rFonts w:asciiTheme="minorHAnsi" w:hAnsiTheme="minorHAnsi" w:cstheme="minorHAnsi"/>
          <w:b/>
          <w:bCs/>
          <w:highlight w:val="yellow"/>
        </w:rPr>
        <w:fldChar w:fldCharType="begin">
          <w:ffData>
            <w:name w:val=""/>
            <w:enabled/>
            <w:calcOnExit w:val="0"/>
            <w:textInput>
              <w:default w:val="[addresses for mailed, couriered, telephone, telefax, or electronic communications]"/>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[addresses for mailed, couriered, telephone, telefax, or electronic communications]</w:t>
      </w:r>
      <w:r w:rsidRPr="00F8274C">
        <w:rPr>
          <w:rFonts w:asciiTheme="minorHAnsi" w:hAnsiTheme="minorHAnsi" w:cstheme="minorHAnsi"/>
          <w:b/>
          <w:bCs/>
          <w:highlight w:val="yellow"/>
        </w:rPr>
        <w:fldChar w:fldCharType="end"/>
      </w:r>
      <w:r w:rsidRPr="00AF64FD">
        <w:rPr>
          <w:rFonts w:asciiTheme="minorHAnsi" w:hAnsiTheme="minorHAnsi" w:cstheme="minorHAnsi"/>
        </w:rPr>
        <w:t>.</w:t>
      </w:r>
      <w:r w:rsidR="0025716F" w:rsidRPr="006A10A2">
        <w:rPr>
          <w:rStyle w:val="EndnoteReference"/>
          <w:rFonts w:asciiTheme="minorHAnsi" w:hAnsiTheme="minorHAnsi" w:cstheme="minorHAnsi"/>
          <w:szCs w:val="24"/>
        </w:rPr>
        <w:endnoteReference w:id="26"/>
      </w:r>
      <w:bookmarkEnd w:id="4"/>
    </w:p>
    <w:p w14:paraId="06AD7B7E" w14:textId="77777777" w:rsidR="0025716F" w:rsidRPr="006D3CD5"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iCs/>
          <w:strike/>
          <w:color w:val="000000"/>
        </w:rPr>
      </w:pPr>
    </w:p>
    <w:p w14:paraId="543348A8" w14:textId="77777777" w:rsidR="006D3CD5" w:rsidRPr="00B12722"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000000"/>
        </w:rPr>
      </w:pP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highlight w:val="yellow"/>
        </w:rPr>
        <w:fldChar w:fldCharType="begin">
          <w:ffData>
            <w:name w:val=""/>
            <w:enabled/>
            <w:calcOnExit w:val="0"/>
            <w:textInput>
              <w:default w:val="[Issuer’s name]"/>
            </w:textInput>
          </w:ffData>
        </w:fldChar>
      </w:r>
      <w:r w:rsidRPr="00B12722">
        <w:rPr>
          <w:rFonts w:cstheme="minorHAnsi"/>
          <w:highlight w:val="yellow"/>
        </w:rPr>
        <w:instrText xml:space="preserve"> FORMTEXT </w:instrText>
      </w:r>
      <w:r w:rsidRPr="00B12722">
        <w:rPr>
          <w:rFonts w:cstheme="minorHAnsi"/>
          <w:highlight w:val="yellow"/>
        </w:rPr>
      </w:r>
      <w:r w:rsidRPr="00B12722">
        <w:rPr>
          <w:rFonts w:cstheme="minorHAnsi"/>
          <w:highlight w:val="yellow"/>
        </w:rPr>
        <w:fldChar w:fldCharType="separate"/>
      </w:r>
      <w:r w:rsidRPr="00B12722">
        <w:rPr>
          <w:rFonts w:cstheme="minorHAnsi"/>
          <w:noProof/>
          <w:highlight w:val="yellow"/>
        </w:rPr>
        <w:t>[Issuer’s name]</w:t>
      </w:r>
      <w:r w:rsidRPr="00B12722">
        <w:rPr>
          <w:rFonts w:cstheme="minorHAnsi"/>
          <w:highlight w:val="yellow"/>
        </w:rPr>
        <w:fldChar w:fldCharType="end"/>
      </w:r>
    </w:p>
    <w:p w14:paraId="4E773EC1" w14:textId="77777777" w:rsidR="006D3CD5" w:rsidRPr="00B12722"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000000"/>
        </w:rPr>
      </w:pPr>
    </w:p>
    <w:p w14:paraId="4FAF5744" w14:textId="77777777" w:rsidR="006D3CD5" w:rsidRPr="00B12722"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000000"/>
        </w:rPr>
      </w:pPr>
    </w:p>
    <w:p w14:paraId="14B3ADCA" w14:textId="77777777" w:rsidR="006D3CD5" w:rsidRPr="00B12722" w:rsidRDefault="006D3CD5" w:rsidP="006D3C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cstheme="minorHAnsi"/>
          <w:color w:val="000000"/>
          <w:u w:val="single"/>
        </w:rPr>
      </w:pP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rPr>
        <w:tab/>
      </w:r>
      <w:r w:rsidRPr="00B12722">
        <w:rPr>
          <w:rFonts w:cstheme="minorHAnsi"/>
          <w:color w:val="000000"/>
          <w:u w:val="single"/>
        </w:rPr>
        <w:t>____________________</w:t>
      </w:r>
    </w:p>
    <w:p w14:paraId="4C1EC8F1" w14:textId="77777777" w:rsidR="006D3CD5" w:rsidRPr="00B12722" w:rsidRDefault="006D3CD5" w:rsidP="006D3CD5">
      <w:pPr>
        <w:widowControl w:val="0"/>
        <w:rPr>
          <w:rFonts w:cstheme="minorHAnsi"/>
        </w:rPr>
      </w:pP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highlight w:val="yellow"/>
        </w:rPr>
        <w:fldChar w:fldCharType="begin">
          <w:ffData>
            <w:name w:val=""/>
            <w:enabled/>
            <w:calcOnExit w:val="0"/>
            <w:textInput>
              <w:default w:val="[Name of Authorized Signer]"/>
            </w:textInput>
          </w:ffData>
        </w:fldChar>
      </w:r>
      <w:r w:rsidRPr="00B12722">
        <w:rPr>
          <w:rFonts w:cstheme="minorHAnsi"/>
          <w:highlight w:val="yellow"/>
        </w:rPr>
        <w:instrText xml:space="preserve"> FORMTEXT </w:instrText>
      </w:r>
      <w:r w:rsidRPr="00B12722">
        <w:rPr>
          <w:rFonts w:cstheme="minorHAnsi"/>
          <w:highlight w:val="yellow"/>
        </w:rPr>
      </w:r>
      <w:r w:rsidRPr="00B12722">
        <w:rPr>
          <w:rFonts w:cstheme="minorHAnsi"/>
          <w:highlight w:val="yellow"/>
        </w:rPr>
        <w:fldChar w:fldCharType="separate"/>
      </w:r>
      <w:r w:rsidRPr="00B12722">
        <w:rPr>
          <w:rFonts w:cstheme="minorHAnsi"/>
          <w:noProof/>
          <w:highlight w:val="yellow"/>
        </w:rPr>
        <w:t>[Name of Authorized Signer]</w:t>
      </w:r>
      <w:r w:rsidRPr="00B12722">
        <w:rPr>
          <w:rFonts w:cstheme="minorHAnsi"/>
          <w:highlight w:val="yellow"/>
        </w:rPr>
        <w:fldChar w:fldCharType="end"/>
      </w:r>
    </w:p>
    <w:p w14:paraId="540FA5FC" w14:textId="77777777" w:rsidR="006D3CD5" w:rsidRPr="00B12722" w:rsidRDefault="006D3CD5" w:rsidP="006D3CD5">
      <w:pPr>
        <w:widowControl w:val="0"/>
        <w:rPr>
          <w:rFonts w:cstheme="minorHAnsi"/>
        </w:rPr>
      </w:pP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rPr>
        <w:tab/>
      </w:r>
      <w:r w:rsidRPr="00B12722">
        <w:rPr>
          <w:rFonts w:cstheme="minorHAnsi"/>
          <w:highlight w:val="yellow"/>
        </w:rPr>
        <w:fldChar w:fldCharType="begin">
          <w:ffData>
            <w:name w:val=""/>
            <w:enabled/>
            <w:calcOnExit w:val="0"/>
            <w:textInput>
              <w:default w:val="[Title of Authorized Signer]"/>
            </w:textInput>
          </w:ffData>
        </w:fldChar>
      </w:r>
      <w:r w:rsidRPr="00B12722">
        <w:rPr>
          <w:rFonts w:cstheme="minorHAnsi"/>
          <w:highlight w:val="yellow"/>
        </w:rPr>
        <w:instrText xml:space="preserve"> FORMTEXT </w:instrText>
      </w:r>
      <w:r w:rsidRPr="00B12722">
        <w:rPr>
          <w:rFonts w:cstheme="minorHAnsi"/>
          <w:highlight w:val="yellow"/>
        </w:rPr>
      </w:r>
      <w:r w:rsidRPr="00B12722">
        <w:rPr>
          <w:rFonts w:cstheme="minorHAnsi"/>
          <w:highlight w:val="yellow"/>
        </w:rPr>
        <w:fldChar w:fldCharType="separate"/>
      </w:r>
      <w:r w:rsidRPr="00B12722">
        <w:rPr>
          <w:rFonts w:cstheme="minorHAnsi"/>
          <w:noProof/>
          <w:highlight w:val="yellow"/>
        </w:rPr>
        <w:t>[Title of Authorized Signer]</w:t>
      </w:r>
      <w:r w:rsidRPr="00B12722">
        <w:rPr>
          <w:rFonts w:cstheme="minorHAnsi"/>
          <w:highlight w:val="yellow"/>
        </w:rPr>
        <w:fldChar w:fldCharType="end"/>
      </w:r>
    </w:p>
    <w:p w14:paraId="6D9C9797"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2B705EB0" w14:textId="77777777" w:rsidR="00A10985" w:rsidRDefault="00A10985">
      <w:pPr>
        <w:rPr>
          <w:rFonts w:asciiTheme="minorHAnsi" w:hAnsiTheme="minorHAnsi" w:cstheme="minorHAnsi"/>
        </w:rPr>
      </w:pPr>
      <w:r>
        <w:rPr>
          <w:rFonts w:asciiTheme="minorHAnsi" w:hAnsiTheme="minorHAnsi" w:cstheme="minorHAnsi"/>
        </w:rPr>
        <w:br w:type="page"/>
      </w:r>
    </w:p>
    <w:p w14:paraId="10ED4FE5" w14:textId="77777777" w:rsidR="0025716F" w:rsidRPr="00A10985" w:rsidRDefault="0025716F" w:rsidP="00A10985">
      <w:pPr>
        <w:widowControl w:val="0"/>
        <w:jc w:val="center"/>
        <w:rPr>
          <w:rFonts w:asciiTheme="minorHAnsi" w:hAnsiTheme="minorHAnsi" w:cstheme="minorHAnsi"/>
          <w:b/>
          <w:sz w:val="32"/>
          <w:szCs w:val="24"/>
        </w:rPr>
      </w:pPr>
      <w:bookmarkStart w:id="7" w:name="_Toc251139843"/>
      <w:bookmarkStart w:id="8" w:name="_Toc259451431"/>
      <w:r w:rsidRPr="00A10985">
        <w:rPr>
          <w:rFonts w:asciiTheme="minorHAnsi" w:hAnsiTheme="minorHAnsi" w:cstheme="minorHAnsi"/>
          <w:b/>
          <w:sz w:val="32"/>
          <w:szCs w:val="24"/>
        </w:rPr>
        <w:lastRenderedPageBreak/>
        <w:t>Annex A: Payment Demand</w:t>
      </w:r>
      <w:bookmarkEnd w:id="7"/>
      <w:bookmarkEnd w:id="8"/>
    </w:p>
    <w:p w14:paraId="7B1EC261" w14:textId="77777777" w:rsidR="0025716F" w:rsidRPr="006A10A2" w:rsidRDefault="0025716F" w:rsidP="0025716F">
      <w:pPr>
        <w:rPr>
          <w:rFonts w:asciiTheme="minorHAnsi" w:hAnsiTheme="minorHAnsi" w:cstheme="minorHAnsi"/>
        </w:rPr>
      </w:pPr>
    </w:p>
    <w:p w14:paraId="6613FA4C" w14:textId="3CD8C0B0" w:rsidR="0025716F" w:rsidRPr="006A10A2" w:rsidRDefault="00F8274C" w:rsidP="0025716F">
      <w:pPr>
        <w:widowControl w:val="0"/>
        <w:rPr>
          <w:rFonts w:asciiTheme="minorHAnsi" w:hAnsiTheme="minorHAnsi" w:cstheme="minorHAnsi"/>
        </w:rPr>
      </w:pPr>
      <w:r w:rsidRPr="00F8274C">
        <w:rPr>
          <w:rFonts w:asciiTheme="minorHAnsi" w:hAnsiTheme="minorHAnsi" w:cstheme="minorHAnsi"/>
          <w:b/>
          <w:bCs/>
          <w:highlight w:val="yellow"/>
        </w:rPr>
        <w:fldChar w:fldCharType="begin">
          <w:ffData>
            <w:name w:val="Text8"/>
            <w:enabled/>
            <w:calcOnExit w:val="0"/>
            <w:textInput>
              <w:default w:val="[date]"/>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[date]</w:t>
      </w:r>
      <w:r w:rsidRPr="00F8274C">
        <w:rPr>
          <w:rFonts w:asciiTheme="minorHAnsi" w:hAnsiTheme="minorHAnsi" w:cstheme="minorHAnsi"/>
          <w:b/>
          <w:bCs/>
          <w:highlight w:val="yellow"/>
        </w:rPr>
        <w:fldChar w:fldCharType="end"/>
      </w:r>
      <w:r w:rsidR="0025716F" w:rsidRPr="006A10A2">
        <w:rPr>
          <w:rStyle w:val="EndnoteReference"/>
          <w:rFonts w:asciiTheme="minorHAnsi" w:hAnsiTheme="minorHAnsi" w:cstheme="minorHAnsi"/>
        </w:rPr>
        <w:endnoteReference w:id="27"/>
      </w:r>
    </w:p>
    <w:p w14:paraId="27762794" w14:textId="77777777" w:rsidR="0025716F" w:rsidRPr="006A10A2" w:rsidRDefault="0025716F" w:rsidP="0025716F">
      <w:pPr>
        <w:widowControl w:val="0"/>
        <w:rPr>
          <w:rFonts w:asciiTheme="minorHAnsi" w:hAnsiTheme="minorHAnsi" w:cstheme="minorHAnsi"/>
        </w:rPr>
      </w:pPr>
    </w:p>
    <w:p w14:paraId="7E9DA807" w14:textId="77777777" w:rsidR="00F8274C" w:rsidRPr="00F8274C" w:rsidRDefault="00F8274C" w:rsidP="00F8274C">
      <w:pPr>
        <w:widowControl w:val="0"/>
        <w:rPr>
          <w:rFonts w:asciiTheme="minorHAnsi" w:hAnsiTheme="minorHAnsi" w:cstheme="minorHAnsi"/>
          <w:b/>
          <w:bCs/>
        </w:rPr>
      </w:pPr>
      <w:r w:rsidRPr="00F8274C">
        <w:rPr>
          <w:rFonts w:asciiTheme="minorHAnsi" w:hAnsiTheme="minorHAnsi" w:cstheme="minorHAnsi"/>
          <w:b/>
          <w:bCs/>
          <w:highlight w:val="yellow"/>
        </w:rPr>
        <w:fldChar w:fldCharType="begin">
          <w:ffData>
            <w:name w:val=""/>
            <w:enabled/>
            <w:calcOnExit w:val="0"/>
            <w:textInput>
              <w:default w:val="[name and address of Issuer or other addressee at place of presentation as stated in standby]"/>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[name and address of Issuer or other addressee at place of presentation as stated in standby]</w:t>
      </w:r>
      <w:r w:rsidRPr="00F8274C">
        <w:rPr>
          <w:rFonts w:asciiTheme="minorHAnsi" w:hAnsiTheme="minorHAnsi" w:cstheme="minorHAnsi"/>
          <w:b/>
          <w:bCs/>
          <w:highlight w:val="yellow"/>
        </w:rPr>
        <w:fldChar w:fldCharType="end"/>
      </w:r>
    </w:p>
    <w:p w14:paraId="754CC5F5" w14:textId="77777777" w:rsidR="0025716F" w:rsidRPr="006A10A2" w:rsidRDefault="0025716F" w:rsidP="0025716F">
      <w:pPr>
        <w:widowControl w:val="0"/>
        <w:rPr>
          <w:rFonts w:asciiTheme="minorHAnsi" w:hAnsiTheme="minorHAnsi" w:cstheme="minorHAnsi"/>
        </w:rPr>
      </w:pPr>
    </w:p>
    <w:p w14:paraId="1D534237" w14:textId="61DE22E9" w:rsidR="0025716F" w:rsidRPr="006A10A2" w:rsidRDefault="00F8274C" w:rsidP="0025716F">
      <w:pPr>
        <w:widowControl w:val="0"/>
        <w:rPr>
          <w:rFonts w:asciiTheme="minorHAnsi" w:hAnsiTheme="minorHAnsi" w:cstheme="minorHAnsi"/>
        </w:rPr>
      </w:pPr>
      <w:r w:rsidRPr="001B2AC0">
        <w:rPr>
          <w:rFonts w:asciiTheme="minorHAnsi" w:hAnsiTheme="minorHAnsi" w:cstheme="minorHAnsi"/>
        </w:rPr>
        <w:t xml:space="preserve">Re: Standby Letter of Credit No. </w:t>
      </w:r>
      <w:bookmarkStart w:id="9" w:name="_Hlk210819093"/>
      <w:r w:rsidRPr="00F8274C">
        <w:rPr>
          <w:rFonts w:asciiTheme="minorHAnsi" w:hAnsiTheme="minorHAnsi" w:cstheme="minorHAnsi"/>
          <w:b/>
          <w:bCs/>
          <w:highlight w:val="yellow"/>
        </w:rPr>
        <w:fldChar w:fldCharType="begin">
          <w:ffData>
            <w:name w:val=""/>
            <w:enabled/>
            <w:calcOnExit w:val="0"/>
            <w:textInput>
              <w:default w:val="[reference number]"/>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[reference number]</w:t>
      </w:r>
      <w:r w:rsidRPr="00F8274C">
        <w:rPr>
          <w:rFonts w:asciiTheme="minorHAnsi" w:hAnsiTheme="minorHAnsi" w:cstheme="minorHAnsi"/>
          <w:b/>
          <w:bCs/>
          <w:highlight w:val="yellow"/>
        </w:rPr>
        <w:fldChar w:fldCharType="end"/>
      </w:r>
      <w:bookmarkEnd w:id="9"/>
      <w:r w:rsidRPr="001B2AC0">
        <w:rPr>
          <w:rFonts w:asciiTheme="minorHAnsi" w:hAnsiTheme="minorHAnsi" w:cstheme="minorHAnsi"/>
        </w:rPr>
        <w:t xml:space="preserve">, dated </w:t>
      </w:r>
      <w:r w:rsidRPr="00F8274C">
        <w:rPr>
          <w:rFonts w:asciiTheme="minorHAnsi" w:hAnsiTheme="minorHAnsi" w:cstheme="minorHAnsi"/>
          <w:b/>
          <w:bCs/>
          <w:highlight w:val="yellow"/>
        </w:rPr>
        <w:fldChar w:fldCharType="begin">
          <w:ffData>
            <w:name w:val="Text8"/>
            <w:enabled/>
            <w:calcOnExit w:val="0"/>
            <w:textInput>
              <w:default w:val="[date]"/>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[date]</w:t>
      </w:r>
      <w:r w:rsidRPr="00F8274C">
        <w:rPr>
          <w:rFonts w:asciiTheme="minorHAnsi" w:hAnsiTheme="minorHAnsi" w:cstheme="minorHAnsi"/>
          <w:b/>
          <w:bCs/>
          <w:highlight w:val="yellow"/>
        </w:rPr>
        <w:fldChar w:fldCharType="end"/>
      </w:r>
      <w:r w:rsidRPr="001B2AC0">
        <w:rPr>
          <w:rFonts w:asciiTheme="minorHAnsi" w:hAnsiTheme="minorHAnsi" w:cstheme="minorHAnsi"/>
        </w:rPr>
        <w:t xml:space="preserve">, issued by </w:t>
      </w:r>
      <w:r w:rsidRPr="00F8274C">
        <w:rPr>
          <w:rFonts w:asciiTheme="minorHAnsi" w:hAnsiTheme="minorHAnsi" w:cstheme="minorHAnsi"/>
          <w:b/>
          <w:bCs/>
          <w:highlight w:val="yellow"/>
        </w:rPr>
        <w:fldChar w:fldCharType="begin">
          <w:ffData>
            <w:name w:val=""/>
            <w:enabled/>
            <w:calcOnExit w:val="0"/>
            <w:textInput>
              <w:default w:val="[Issuer’s name]"/>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[Issuer’s name]</w:t>
      </w:r>
      <w:r w:rsidRPr="00F8274C">
        <w:rPr>
          <w:rFonts w:asciiTheme="minorHAnsi" w:hAnsiTheme="minorHAnsi" w:cstheme="minorHAnsi"/>
          <w:b/>
          <w:bCs/>
          <w:highlight w:val="yellow"/>
        </w:rPr>
        <w:fldChar w:fldCharType="end"/>
      </w:r>
      <w:r w:rsidRPr="001B2AC0">
        <w:rPr>
          <w:rFonts w:asciiTheme="minorHAnsi" w:hAnsiTheme="minorHAnsi" w:cstheme="minorHAnsi"/>
          <w:b/>
        </w:rPr>
        <w:t xml:space="preserve"> </w:t>
      </w:r>
      <w:r w:rsidRPr="001B2AC0">
        <w:rPr>
          <w:rFonts w:asciiTheme="minorHAnsi" w:hAnsiTheme="minorHAnsi" w:cstheme="minorHAnsi"/>
        </w:rPr>
        <w:t>(“Standby”).</w:t>
      </w:r>
      <w:r w:rsidR="0025716F" w:rsidRPr="006A10A2">
        <w:rPr>
          <w:rStyle w:val="EndnoteReference"/>
          <w:rFonts w:asciiTheme="minorHAnsi" w:hAnsiTheme="minorHAnsi" w:cstheme="minorHAnsi"/>
        </w:rPr>
        <w:endnoteReference w:id="28"/>
      </w:r>
    </w:p>
    <w:p w14:paraId="1E1FF559" w14:textId="77777777" w:rsidR="0025716F" w:rsidRPr="006A10A2" w:rsidRDefault="0025716F" w:rsidP="0025716F">
      <w:pPr>
        <w:widowControl w:val="0"/>
        <w:rPr>
          <w:rFonts w:asciiTheme="minorHAnsi" w:hAnsiTheme="minorHAnsi" w:cstheme="minorHAnsi"/>
        </w:rPr>
      </w:pPr>
    </w:p>
    <w:p w14:paraId="4B14281B" w14:textId="3959A3AA" w:rsidR="0025716F" w:rsidRPr="006A10A2" w:rsidRDefault="0025716F" w:rsidP="0025716F">
      <w:pPr>
        <w:widowControl w:val="0"/>
        <w:rPr>
          <w:rFonts w:asciiTheme="minorHAnsi" w:hAnsiTheme="minorHAnsi" w:cstheme="minorHAnsi"/>
        </w:rPr>
      </w:pPr>
      <w:r w:rsidRPr="006A10A2">
        <w:rPr>
          <w:rFonts w:asciiTheme="minorHAnsi" w:hAnsiTheme="minorHAnsi" w:cstheme="minorHAnsi"/>
        </w:rPr>
        <w:t xml:space="preserve">The undersigned Beneficiary demands payment of USD </w:t>
      </w:r>
      <w:r w:rsidR="00F8274C" w:rsidRPr="00F8274C">
        <w:rPr>
          <w:rFonts w:asciiTheme="minorHAnsi" w:hAnsiTheme="minorHAnsi" w:cstheme="minorHAnsi"/>
          <w:b/>
          <w:bCs/>
          <w:highlight w:val="yellow"/>
        </w:rPr>
        <w:fldChar w:fldCharType="begin">
          <w:ffData>
            <w:name w:val=""/>
            <w:enabled/>
            <w:calcOnExit w:val="0"/>
            <w:textInput>
              <w:default w:val="[amount]"/>
            </w:textInput>
          </w:ffData>
        </w:fldChar>
      </w:r>
      <w:r w:rsidR="00F8274C" w:rsidRPr="00F8274C">
        <w:rPr>
          <w:rFonts w:asciiTheme="minorHAnsi" w:hAnsiTheme="minorHAnsi" w:cstheme="minorHAnsi"/>
          <w:b/>
          <w:bCs/>
          <w:highlight w:val="yellow"/>
        </w:rPr>
        <w:instrText xml:space="preserve"> FORMTEXT </w:instrText>
      </w:r>
      <w:r w:rsidR="00F8274C" w:rsidRPr="00F8274C">
        <w:rPr>
          <w:rFonts w:asciiTheme="minorHAnsi" w:hAnsiTheme="minorHAnsi" w:cstheme="minorHAnsi"/>
          <w:b/>
          <w:bCs/>
          <w:highlight w:val="yellow"/>
        </w:rPr>
      </w:r>
      <w:r w:rsidR="00F8274C" w:rsidRPr="00F8274C">
        <w:rPr>
          <w:rFonts w:asciiTheme="minorHAnsi" w:hAnsiTheme="minorHAnsi" w:cstheme="minorHAnsi"/>
          <w:b/>
          <w:bCs/>
          <w:highlight w:val="yellow"/>
        </w:rPr>
        <w:fldChar w:fldCharType="separate"/>
      </w:r>
      <w:r w:rsidR="00F8274C" w:rsidRPr="00F8274C">
        <w:rPr>
          <w:rFonts w:asciiTheme="minorHAnsi" w:hAnsiTheme="minorHAnsi" w:cstheme="minorHAnsi"/>
          <w:b/>
          <w:bCs/>
          <w:noProof/>
          <w:highlight w:val="yellow"/>
        </w:rPr>
        <w:t>[amount]</w:t>
      </w:r>
      <w:r w:rsidR="00F8274C" w:rsidRPr="00F8274C">
        <w:rPr>
          <w:rFonts w:asciiTheme="minorHAnsi" w:hAnsiTheme="minorHAnsi" w:cstheme="minorHAnsi"/>
          <w:b/>
          <w:bCs/>
          <w:highlight w:val="yellow"/>
        </w:rPr>
        <w:fldChar w:fldCharType="end"/>
      </w:r>
      <w:r w:rsidRPr="006A10A2">
        <w:rPr>
          <w:rFonts w:asciiTheme="minorHAnsi" w:hAnsiTheme="minorHAnsi" w:cstheme="minorHAnsi"/>
        </w:rPr>
        <w:t xml:space="preserve"> under the Standby.</w:t>
      </w:r>
    </w:p>
    <w:p w14:paraId="5F53664E" w14:textId="77777777" w:rsidR="0025716F" w:rsidRPr="006A10A2" w:rsidRDefault="0025716F" w:rsidP="0025716F">
      <w:pPr>
        <w:widowControl w:val="0"/>
        <w:rPr>
          <w:rFonts w:asciiTheme="minorHAnsi" w:hAnsiTheme="minorHAnsi" w:cstheme="minorHAnsi"/>
        </w:rPr>
      </w:pPr>
      <w:r w:rsidRPr="006A10A2">
        <w:rPr>
          <w:rFonts w:asciiTheme="minorHAnsi" w:hAnsiTheme="minorHAnsi" w:cstheme="minorHAnsi"/>
        </w:rPr>
        <w:tab/>
      </w:r>
    </w:p>
    <w:p w14:paraId="1D8897A7" w14:textId="1873F081" w:rsidR="0025716F" w:rsidRPr="006A10A2" w:rsidRDefault="0025716F" w:rsidP="0025716F">
      <w:pPr>
        <w:widowControl w:val="0"/>
        <w:rPr>
          <w:rFonts w:asciiTheme="minorHAnsi" w:hAnsiTheme="minorHAnsi" w:cstheme="minorHAnsi"/>
          <w:i/>
        </w:rPr>
      </w:pPr>
      <w:r w:rsidRPr="006A10A2">
        <w:rPr>
          <w:rFonts w:asciiTheme="minorHAnsi" w:hAnsiTheme="minorHAnsi" w:cstheme="minorHAnsi"/>
        </w:rPr>
        <w:t>Beneficiary states</w:t>
      </w:r>
      <w:r w:rsidRPr="006A10A2">
        <w:rPr>
          <w:rStyle w:val="EndnoteReference"/>
          <w:rFonts w:asciiTheme="minorHAnsi" w:hAnsiTheme="minorHAnsi" w:cstheme="minorHAnsi"/>
        </w:rPr>
        <w:endnoteReference w:id="29"/>
      </w:r>
      <w:r w:rsidRPr="006A10A2">
        <w:rPr>
          <w:rFonts w:asciiTheme="minorHAnsi" w:hAnsiTheme="minorHAnsi" w:cstheme="minorHAnsi"/>
        </w:rPr>
        <w:t xml:space="preserve"> that Applicant</w:t>
      </w:r>
      <w:r w:rsidRPr="006A10A2">
        <w:rPr>
          <w:rStyle w:val="EndnoteReference"/>
          <w:rFonts w:asciiTheme="minorHAnsi" w:hAnsiTheme="minorHAnsi" w:cstheme="minorHAnsi"/>
        </w:rPr>
        <w:endnoteReference w:id="30"/>
      </w:r>
      <w:r w:rsidRPr="006A10A2">
        <w:rPr>
          <w:rFonts w:asciiTheme="minorHAnsi" w:hAnsiTheme="minorHAnsi" w:cstheme="minorHAnsi"/>
        </w:rPr>
        <w:t xml:space="preserve"> is obligated</w:t>
      </w:r>
      <w:r w:rsidRPr="006A10A2">
        <w:rPr>
          <w:rStyle w:val="EndnoteReference"/>
          <w:rFonts w:asciiTheme="minorHAnsi" w:hAnsiTheme="minorHAnsi" w:cstheme="minorHAnsi"/>
        </w:rPr>
        <w:endnoteReference w:id="31"/>
      </w:r>
      <w:r w:rsidRPr="006A10A2">
        <w:rPr>
          <w:rFonts w:asciiTheme="minorHAnsi" w:hAnsiTheme="minorHAnsi" w:cstheme="minorHAnsi"/>
        </w:rPr>
        <w:t xml:space="preserve"> to pay to Beneficiary the amount demanded as provided in </w:t>
      </w:r>
      <w:bookmarkStart w:id="10" w:name="_Ref251138294"/>
      <w:r w:rsidR="00F8274C" w:rsidRPr="00F8274C">
        <w:rPr>
          <w:rFonts w:asciiTheme="minorHAnsi" w:hAnsiTheme="minorHAnsi" w:cstheme="minorHAnsi"/>
          <w:b/>
          <w:bCs/>
          <w:highlight w:val="yellow"/>
        </w:rPr>
        <w:fldChar w:fldCharType="begin">
          <w:ffData>
            <w:name w:val=""/>
            <w:enabled/>
            <w:calcOnExit w:val="0"/>
            <w:textInput>
              <w:default w:val="[the contract, regulation, or other document that identifies the underlying obligations to the government beneficiary]"/>
            </w:textInput>
          </w:ffData>
        </w:fldChar>
      </w:r>
      <w:r w:rsidR="00F8274C" w:rsidRPr="00F8274C">
        <w:rPr>
          <w:rFonts w:asciiTheme="minorHAnsi" w:hAnsiTheme="minorHAnsi" w:cstheme="minorHAnsi"/>
          <w:b/>
          <w:bCs/>
          <w:highlight w:val="yellow"/>
        </w:rPr>
        <w:instrText xml:space="preserve"> FORMTEXT </w:instrText>
      </w:r>
      <w:r w:rsidR="00F8274C" w:rsidRPr="00F8274C">
        <w:rPr>
          <w:rFonts w:asciiTheme="minorHAnsi" w:hAnsiTheme="minorHAnsi" w:cstheme="minorHAnsi"/>
          <w:b/>
          <w:bCs/>
          <w:highlight w:val="yellow"/>
        </w:rPr>
      </w:r>
      <w:r w:rsidR="00F8274C" w:rsidRPr="00F8274C">
        <w:rPr>
          <w:rFonts w:asciiTheme="minorHAnsi" w:hAnsiTheme="minorHAnsi" w:cstheme="minorHAnsi"/>
          <w:b/>
          <w:bCs/>
          <w:highlight w:val="yellow"/>
        </w:rPr>
        <w:fldChar w:fldCharType="separate"/>
      </w:r>
      <w:r w:rsidR="00F8274C" w:rsidRPr="00F8274C">
        <w:rPr>
          <w:rFonts w:asciiTheme="minorHAnsi" w:hAnsiTheme="minorHAnsi" w:cstheme="minorHAnsi"/>
          <w:b/>
          <w:bCs/>
          <w:noProof/>
          <w:highlight w:val="yellow"/>
        </w:rPr>
        <w:t>[the contract, regulation, or other document that identifies the underlying obligations to the government beneficiary]</w:t>
      </w:r>
      <w:r w:rsidR="00F8274C" w:rsidRPr="00F8274C">
        <w:rPr>
          <w:rFonts w:asciiTheme="minorHAnsi" w:hAnsiTheme="minorHAnsi" w:cstheme="minorHAnsi"/>
          <w:b/>
          <w:bCs/>
          <w:highlight w:val="yellow"/>
        </w:rPr>
        <w:fldChar w:fldCharType="end"/>
      </w:r>
      <w:r w:rsidR="00F8274C">
        <w:rPr>
          <w:rFonts w:asciiTheme="minorHAnsi" w:hAnsiTheme="minorHAnsi" w:cstheme="minorHAnsi"/>
        </w:rPr>
        <w:t>.</w:t>
      </w:r>
      <w:r w:rsidRPr="006A10A2">
        <w:rPr>
          <w:rStyle w:val="EndnoteReference"/>
          <w:rFonts w:asciiTheme="minorHAnsi" w:hAnsiTheme="minorHAnsi" w:cstheme="minorHAnsi"/>
        </w:rPr>
        <w:endnoteReference w:id="32"/>
      </w:r>
      <w:bookmarkEnd w:id="10"/>
    </w:p>
    <w:p w14:paraId="1C2EA8ED" w14:textId="77777777" w:rsidR="0025716F" w:rsidRPr="006A10A2" w:rsidRDefault="0025716F" w:rsidP="0025716F">
      <w:pPr>
        <w:widowControl w:val="0"/>
        <w:rPr>
          <w:rFonts w:asciiTheme="minorHAnsi" w:hAnsiTheme="minorHAnsi" w:cstheme="minorHAnsi"/>
        </w:rPr>
      </w:pPr>
    </w:p>
    <w:p w14:paraId="45135BF9" w14:textId="572EB362" w:rsidR="0025716F" w:rsidRPr="006A10A2" w:rsidRDefault="0025716F" w:rsidP="0025716F">
      <w:pPr>
        <w:widowControl w:val="0"/>
        <w:rPr>
          <w:rFonts w:asciiTheme="minorHAnsi" w:hAnsiTheme="minorHAnsi" w:cstheme="minorHAnsi"/>
        </w:rPr>
      </w:pPr>
      <w:r w:rsidRPr="006A10A2">
        <w:rPr>
          <w:rFonts w:asciiTheme="minorHAnsi" w:hAnsiTheme="minorHAnsi" w:cstheme="minorHAnsi"/>
        </w:rPr>
        <w:t xml:space="preserve">Beneficiary requests that payment be made by wire transfer to an account of Beneficiary as follows: </w:t>
      </w:r>
      <w:r w:rsidR="00F8274C" w:rsidRPr="00F8274C">
        <w:rPr>
          <w:rFonts w:asciiTheme="minorHAnsi" w:hAnsiTheme="minorHAnsi" w:cstheme="minorHAnsi"/>
          <w:b/>
          <w:bCs/>
          <w:highlight w:val="yellow"/>
        </w:rPr>
        <w:fldChar w:fldCharType="begin">
          <w:ffData>
            <w:name w:val=""/>
            <w:enabled/>
            <w:calcOnExit w:val="0"/>
            <w:textInput>
              <w:default w:val="[name, address, and routing number of beneficiary’s bank, and name and number of beneficiary’s account]"/>
            </w:textInput>
          </w:ffData>
        </w:fldChar>
      </w:r>
      <w:r w:rsidR="00F8274C" w:rsidRPr="00F8274C">
        <w:rPr>
          <w:rFonts w:asciiTheme="minorHAnsi" w:hAnsiTheme="minorHAnsi" w:cstheme="minorHAnsi"/>
          <w:b/>
          <w:bCs/>
          <w:highlight w:val="yellow"/>
        </w:rPr>
        <w:instrText xml:space="preserve"> FORMTEXT </w:instrText>
      </w:r>
      <w:r w:rsidR="00F8274C" w:rsidRPr="00F8274C">
        <w:rPr>
          <w:rFonts w:asciiTheme="minorHAnsi" w:hAnsiTheme="minorHAnsi" w:cstheme="minorHAnsi"/>
          <w:b/>
          <w:bCs/>
          <w:highlight w:val="yellow"/>
        </w:rPr>
      </w:r>
      <w:r w:rsidR="00F8274C" w:rsidRPr="00F8274C">
        <w:rPr>
          <w:rFonts w:asciiTheme="minorHAnsi" w:hAnsiTheme="minorHAnsi" w:cstheme="minorHAnsi"/>
          <w:b/>
          <w:bCs/>
          <w:highlight w:val="yellow"/>
        </w:rPr>
        <w:fldChar w:fldCharType="separate"/>
      </w:r>
      <w:r w:rsidR="00F8274C" w:rsidRPr="00F8274C">
        <w:rPr>
          <w:rFonts w:asciiTheme="minorHAnsi" w:hAnsiTheme="minorHAnsi" w:cstheme="minorHAnsi"/>
          <w:b/>
          <w:bCs/>
          <w:noProof/>
          <w:highlight w:val="yellow"/>
        </w:rPr>
        <w:t>[name, address, and routing number of beneficiary’s bank, and name and number of beneficiary’s account]</w:t>
      </w:r>
      <w:r w:rsidR="00F8274C" w:rsidRPr="00F8274C">
        <w:rPr>
          <w:rFonts w:asciiTheme="minorHAnsi" w:hAnsiTheme="minorHAnsi" w:cstheme="minorHAnsi"/>
          <w:b/>
          <w:bCs/>
          <w:highlight w:val="yellow"/>
        </w:rPr>
        <w:fldChar w:fldCharType="end"/>
      </w:r>
      <w:r w:rsidRPr="006A10A2">
        <w:rPr>
          <w:rFonts w:asciiTheme="minorHAnsi" w:hAnsiTheme="minorHAnsi" w:cstheme="minorHAnsi"/>
        </w:rPr>
        <w:t>.</w:t>
      </w:r>
      <w:bookmarkStart w:id="11" w:name="_Ref251138303"/>
      <w:r w:rsidRPr="006A10A2">
        <w:rPr>
          <w:rStyle w:val="EndnoteReference"/>
          <w:rFonts w:asciiTheme="minorHAnsi" w:hAnsiTheme="minorHAnsi" w:cstheme="minorHAnsi"/>
        </w:rPr>
        <w:endnoteReference w:id="33"/>
      </w:r>
      <w:bookmarkEnd w:id="11"/>
    </w:p>
    <w:p w14:paraId="12BC2B10" w14:textId="77777777" w:rsidR="0025716F" w:rsidRPr="006A10A2" w:rsidRDefault="0025716F" w:rsidP="0025716F">
      <w:pPr>
        <w:widowControl w:val="0"/>
        <w:rPr>
          <w:rFonts w:asciiTheme="minorHAnsi" w:hAnsiTheme="minorHAnsi" w:cstheme="minorHAnsi"/>
        </w:rPr>
      </w:pPr>
    </w:p>
    <w:p w14:paraId="57CCC2DA" w14:textId="66EBA7BB" w:rsidR="0025716F" w:rsidRPr="006A10A2" w:rsidRDefault="00F8274C" w:rsidP="00F8274C">
      <w:pPr>
        <w:widowControl w:val="0"/>
        <w:rPr>
          <w:rFonts w:asciiTheme="minorHAnsi" w:hAnsiTheme="minorHAnsi" w:cstheme="minorHAnsi"/>
        </w:rPr>
      </w:pPr>
      <w:bookmarkStart w:id="12" w:name="_Ref251574060"/>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F8274C">
        <w:rPr>
          <w:rFonts w:asciiTheme="minorHAnsi" w:hAnsiTheme="minorHAnsi" w:cstheme="minorHAnsi"/>
          <w:b/>
          <w:bCs/>
          <w:highlight w:val="yellow"/>
        </w:rPr>
        <w:fldChar w:fldCharType="begin">
          <w:ffData>
            <w:name w:val=""/>
            <w:enabled/>
            <w:calcOnExit w:val="0"/>
            <w:textInput>
              <w:default w:val="[Beneficiary’s name and address]"/>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[Beneficiary’s name and address]</w:t>
      </w:r>
      <w:r w:rsidRPr="00F8274C">
        <w:rPr>
          <w:rFonts w:asciiTheme="minorHAnsi" w:hAnsiTheme="minorHAnsi" w:cstheme="minorHAnsi"/>
          <w:b/>
          <w:bCs/>
          <w:highlight w:val="yellow"/>
        </w:rPr>
        <w:fldChar w:fldCharType="end"/>
      </w:r>
      <w:r w:rsidR="0025716F" w:rsidRPr="006A10A2">
        <w:rPr>
          <w:rStyle w:val="EndnoteReference"/>
          <w:rFonts w:asciiTheme="minorHAnsi" w:hAnsiTheme="minorHAnsi" w:cstheme="minorHAnsi"/>
        </w:rPr>
        <w:endnoteReference w:id="34"/>
      </w:r>
      <w:bookmarkEnd w:id="12"/>
    </w:p>
    <w:p w14:paraId="655C0E51" w14:textId="77777777" w:rsidR="0025716F" w:rsidRPr="006A10A2" w:rsidRDefault="0025716F" w:rsidP="0025716F">
      <w:pPr>
        <w:widowControl w:val="0"/>
        <w:rPr>
          <w:rFonts w:asciiTheme="minorHAnsi" w:hAnsiTheme="minorHAnsi" w:cstheme="minorHAnsi"/>
        </w:rPr>
      </w:pP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r w:rsidRPr="006A10A2">
        <w:rPr>
          <w:rFonts w:asciiTheme="minorHAnsi" w:hAnsiTheme="minorHAnsi" w:cstheme="minorHAnsi"/>
        </w:rPr>
        <w:tab/>
      </w:r>
    </w:p>
    <w:p w14:paraId="688A46E1" w14:textId="77777777" w:rsidR="00F8274C" w:rsidRPr="00BC2579" w:rsidRDefault="00F8274C" w:rsidP="00F8274C">
      <w:pPr>
        <w:widowControl w:val="0"/>
        <w:rPr>
          <w:rFonts w:asciiTheme="minorHAnsi" w:hAnsiTheme="minorHAnsi" w:cstheme="minorHAnsi"/>
        </w:rPr>
      </w:pPr>
    </w:p>
    <w:p w14:paraId="1BCE099F" w14:textId="77777777" w:rsidR="00F8274C" w:rsidRPr="00BC2579" w:rsidRDefault="00F8274C" w:rsidP="00F8274C">
      <w:pPr>
        <w:widowControl w:val="0"/>
        <w:rPr>
          <w:rFonts w:asciiTheme="minorHAnsi" w:hAnsiTheme="minorHAnsi" w:cstheme="minorHAnsi"/>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t>By its authorized officer:</w:t>
      </w:r>
    </w:p>
    <w:p w14:paraId="4A53D11C" w14:textId="77777777" w:rsidR="00F8274C" w:rsidRPr="00BC2579" w:rsidRDefault="00F8274C" w:rsidP="00F8274C">
      <w:pPr>
        <w:widowControl w:val="0"/>
        <w:rPr>
          <w:rFonts w:asciiTheme="minorHAnsi" w:hAnsiTheme="minorHAnsi" w:cstheme="minorHAnsi"/>
        </w:rPr>
      </w:pPr>
    </w:p>
    <w:p w14:paraId="0C89E96E" w14:textId="77777777" w:rsidR="00F8274C" w:rsidRPr="00BC2579" w:rsidRDefault="00F8274C" w:rsidP="00F8274C">
      <w:pPr>
        <w:widowControl w:val="0"/>
        <w:rPr>
          <w:rFonts w:asciiTheme="minorHAnsi" w:hAnsiTheme="minorHAnsi" w:cstheme="minorHAnsi"/>
        </w:rPr>
      </w:pPr>
    </w:p>
    <w:p w14:paraId="21CCD4AA" w14:textId="77777777" w:rsidR="00F8274C" w:rsidRPr="00BC2579" w:rsidRDefault="00F8274C" w:rsidP="00F827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u w:val="single"/>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u w:val="single"/>
        </w:rPr>
        <w:t>____________________</w:t>
      </w:r>
    </w:p>
    <w:p w14:paraId="156CFD54" w14:textId="4EDFDE36" w:rsidR="0025716F" w:rsidRDefault="00F8274C" w:rsidP="0025716F">
      <w:pPr>
        <w:widowControl w:val="0"/>
        <w:rPr>
          <w:rFonts w:asciiTheme="minorHAnsi" w:hAnsiTheme="minorHAnsi" w:cstheme="minorHAnsi"/>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00F43A14">
        <w:rPr>
          <w:rFonts w:asciiTheme="minorHAnsi" w:hAnsiTheme="minorHAnsi" w:cstheme="minorHAnsi"/>
          <w:b/>
          <w:bCs/>
          <w:highlight w:val="yellow"/>
        </w:rPr>
        <w:fldChar w:fldCharType="begin">
          <w:ffData>
            <w:name w:val="Text8"/>
            <w:enabled/>
            <w:calcOnExit w:val="0"/>
            <w:textInput>
              <w:default w:val="[Original Signature]"/>
            </w:textInput>
          </w:ffData>
        </w:fldChar>
      </w:r>
      <w:bookmarkStart w:id="13" w:name="Text8"/>
      <w:r w:rsidR="00F43A14">
        <w:rPr>
          <w:rFonts w:asciiTheme="minorHAnsi" w:hAnsiTheme="minorHAnsi" w:cstheme="minorHAnsi"/>
          <w:b/>
          <w:bCs/>
          <w:highlight w:val="yellow"/>
        </w:rPr>
        <w:instrText xml:space="preserve"> FORMTEXT </w:instrText>
      </w:r>
      <w:r w:rsidR="00F43A14">
        <w:rPr>
          <w:rFonts w:asciiTheme="minorHAnsi" w:hAnsiTheme="minorHAnsi" w:cstheme="minorHAnsi"/>
          <w:b/>
          <w:bCs/>
          <w:highlight w:val="yellow"/>
        </w:rPr>
      </w:r>
      <w:r w:rsidR="00F43A14">
        <w:rPr>
          <w:rFonts w:asciiTheme="minorHAnsi" w:hAnsiTheme="minorHAnsi" w:cstheme="minorHAnsi"/>
          <w:b/>
          <w:bCs/>
          <w:highlight w:val="yellow"/>
        </w:rPr>
        <w:fldChar w:fldCharType="separate"/>
      </w:r>
      <w:r w:rsidR="00F43A14">
        <w:rPr>
          <w:rFonts w:asciiTheme="minorHAnsi" w:hAnsiTheme="minorHAnsi" w:cstheme="minorHAnsi"/>
          <w:b/>
          <w:bCs/>
          <w:noProof/>
          <w:highlight w:val="yellow"/>
        </w:rPr>
        <w:t>[Original Signature]</w:t>
      </w:r>
      <w:r w:rsidR="00F43A14">
        <w:rPr>
          <w:rFonts w:asciiTheme="minorHAnsi" w:hAnsiTheme="minorHAnsi" w:cstheme="minorHAnsi"/>
          <w:b/>
          <w:bCs/>
          <w:highlight w:val="yellow"/>
        </w:rPr>
        <w:fldChar w:fldCharType="end"/>
      </w:r>
      <w:bookmarkEnd w:id="13"/>
      <w:r w:rsidR="0025716F" w:rsidRPr="006A10A2">
        <w:rPr>
          <w:rStyle w:val="EndnoteReference"/>
          <w:rFonts w:asciiTheme="minorHAnsi" w:hAnsiTheme="minorHAnsi" w:cstheme="minorHAnsi"/>
        </w:rPr>
        <w:endnoteReference w:id="35"/>
      </w:r>
      <w:r w:rsidR="0025716F" w:rsidRPr="006A10A2">
        <w:rPr>
          <w:rFonts w:asciiTheme="minorHAnsi" w:hAnsiTheme="minorHAnsi" w:cstheme="minorHAnsi"/>
        </w:rPr>
        <w:tab/>
      </w:r>
      <w:r w:rsidR="0025716F" w:rsidRPr="006A10A2">
        <w:rPr>
          <w:rFonts w:asciiTheme="minorHAnsi" w:hAnsiTheme="minorHAnsi" w:cstheme="minorHAnsi"/>
        </w:rPr>
        <w:tab/>
      </w:r>
      <w:r w:rsidR="0025716F" w:rsidRPr="006A10A2">
        <w:rPr>
          <w:rFonts w:asciiTheme="minorHAnsi" w:hAnsiTheme="minorHAnsi" w:cstheme="minorHAnsi"/>
        </w:rPr>
        <w:tab/>
      </w:r>
      <w:r w:rsidR="0025716F" w:rsidRPr="006A10A2">
        <w:rPr>
          <w:rFonts w:asciiTheme="minorHAnsi" w:hAnsiTheme="minorHAnsi" w:cstheme="minorHAnsi"/>
        </w:rPr>
        <w:tab/>
      </w:r>
    </w:p>
    <w:p w14:paraId="5280B78A" w14:textId="77777777" w:rsidR="00F8274C" w:rsidRPr="00F8274C" w:rsidRDefault="00F8274C" w:rsidP="00F8274C">
      <w:pPr>
        <w:widowControl w:val="0"/>
        <w:rPr>
          <w:rFonts w:asciiTheme="minorHAnsi" w:hAnsiTheme="minorHAnsi" w:cstheme="minorHAnsi"/>
          <w:b/>
          <w:bCs/>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F8274C">
        <w:rPr>
          <w:rFonts w:asciiTheme="minorHAnsi" w:hAnsiTheme="minorHAnsi" w:cstheme="minorHAnsi"/>
          <w:b/>
          <w:bCs/>
          <w:highlight w:val="yellow"/>
        </w:rPr>
        <w:fldChar w:fldCharType="begin">
          <w:ffData>
            <w:name w:val=""/>
            <w:enabled/>
            <w:calcOnExit w:val="0"/>
            <w:textInput>
              <w:default w:val="[Name and Title]"/>
            </w:textInput>
          </w:ffData>
        </w:fldChar>
      </w:r>
      <w:r w:rsidRPr="00F8274C">
        <w:rPr>
          <w:rFonts w:asciiTheme="minorHAnsi" w:hAnsiTheme="minorHAnsi" w:cstheme="minorHAnsi"/>
          <w:b/>
          <w:bCs/>
          <w:highlight w:val="yellow"/>
        </w:rPr>
        <w:instrText xml:space="preserve"> FORMTEXT </w:instrText>
      </w:r>
      <w:r w:rsidRPr="00F8274C">
        <w:rPr>
          <w:rFonts w:asciiTheme="minorHAnsi" w:hAnsiTheme="minorHAnsi" w:cstheme="minorHAnsi"/>
          <w:b/>
          <w:bCs/>
          <w:highlight w:val="yellow"/>
        </w:rPr>
      </w:r>
      <w:r w:rsidRPr="00F8274C">
        <w:rPr>
          <w:rFonts w:asciiTheme="minorHAnsi" w:hAnsiTheme="minorHAnsi" w:cstheme="minorHAnsi"/>
          <w:b/>
          <w:bCs/>
          <w:highlight w:val="yellow"/>
        </w:rPr>
        <w:fldChar w:fldCharType="separate"/>
      </w:r>
      <w:r w:rsidRPr="00F8274C">
        <w:rPr>
          <w:rFonts w:asciiTheme="minorHAnsi" w:hAnsiTheme="minorHAnsi" w:cstheme="minorHAnsi"/>
          <w:b/>
          <w:bCs/>
          <w:noProof/>
          <w:highlight w:val="yellow"/>
        </w:rPr>
        <w:t>[Name and Title]</w:t>
      </w:r>
      <w:r w:rsidRPr="00F8274C">
        <w:rPr>
          <w:rFonts w:asciiTheme="minorHAnsi" w:hAnsiTheme="minorHAnsi" w:cstheme="minorHAnsi"/>
          <w:b/>
          <w:bCs/>
          <w:highlight w:val="yellow"/>
        </w:rPr>
        <w:fldChar w:fldCharType="end"/>
      </w:r>
    </w:p>
    <w:p w14:paraId="113F3F82" w14:textId="77777777" w:rsidR="00A10985" w:rsidRDefault="00A10985">
      <w:pPr>
        <w:rPr>
          <w:rFonts w:asciiTheme="minorHAnsi" w:hAnsiTheme="minorHAnsi" w:cstheme="minorHAnsi"/>
        </w:rPr>
      </w:pPr>
      <w:r>
        <w:rPr>
          <w:rFonts w:asciiTheme="minorHAnsi" w:hAnsiTheme="minorHAnsi" w:cstheme="minorHAnsi"/>
        </w:rPr>
        <w:br w:type="page"/>
      </w:r>
    </w:p>
    <w:p w14:paraId="42741659" w14:textId="71022D0A" w:rsidR="0025716F" w:rsidRPr="00F424B7" w:rsidRDefault="0025716F" w:rsidP="009538A6">
      <w:pPr>
        <w:pStyle w:val="Heading1"/>
        <w:jc w:val="center"/>
        <w:rPr>
          <w:rFonts w:asciiTheme="minorHAnsi" w:hAnsiTheme="minorHAnsi" w:cstheme="minorHAnsi"/>
          <w:b/>
          <w:sz w:val="32"/>
          <w:szCs w:val="24"/>
        </w:rPr>
      </w:pPr>
      <w:bookmarkStart w:id="14" w:name="_Toc251139844"/>
      <w:bookmarkStart w:id="15" w:name="_Toc259451432"/>
      <w:r w:rsidRPr="00F424B7">
        <w:rPr>
          <w:rFonts w:asciiTheme="minorHAnsi" w:hAnsiTheme="minorHAnsi" w:cstheme="minorHAnsi"/>
          <w:b/>
          <w:sz w:val="32"/>
          <w:szCs w:val="24"/>
        </w:rPr>
        <w:lastRenderedPageBreak/>
        <w:t>Annex B: Payment Demand after Notice of Non-extension</w:t>
      </w:r>
      <w:bookmarkEnd w:id="14"/>
      <w:r w:rsidRPr="00F424B7">
        <w:rPr>
          <w:rStyle w:val="EndnoteReference"/>
          <w:rFonts w:asciiTheme="minorHAnsi" w:hAnsiTheme="minorHAnsi" w:cstheme="minorHAnsi"/>
          <w:sz w:val="32"/>
          <w:szCs w:val="24"/>
        </w:rPr>
        <w:endnoteReference w:id="36"/>
      </w:r>
      <w:bookmarkEnd w:id="15"/>
    </w:p>
    <w:p w14:paraId="7A8A300A" w14:textId="77777777" w:rsidR="0025716F" w:rsidRPr="00F424B7" w:rsidRDefault="0025716F" w:rsidP="0025716F">
      <w:pPr>
        <w:widowControl w:val="0"/>
        <w:rPr>
          <w:rFonts w:asciiTheme="minorHAnsi" w:hAnsiTheme="minorHAnsi" w:cstheme="minorHAnsi"/>
        </w:rPr>
      </w:pPr>
    </w:p>
    <w:p w14:paraId="2261FC6D" w14:textId="613DBE52" w:rsidR="0025716F" w:rsidRPr="00DB3F4C" w:rsidRDefault="00DB3F4C" w:rsidP="0025716F">
      <w:pPr>
        <w:widowControl w:val="0"/>
        <w:rPr>
          <w:rFonts w:asciiTheme="minorHAnsi" w:hAnsiTheme="minorHAnsi" w:cstheme="minorHAnsi"/>
          <w:b/>
          <w:bCs/>
        </w:rPr>
      </w:pPr>
      <w:r w:rsidRPr="00DB3F4C">
        <w:rPr>
          <w:rFonts w:asciiTheme="minorHAnsi" w:hAnsiTheme="minorHAnsi" w:cstheme="minorHAnsi"/>
          <w:b/>
          <w:bCs/>
          <w:highlight w:val="yellow"/>
        </w:rPr>
        <w:fldChar w:fldCharType="begin">
          <w:ffData>
            <w:name w:val="Text8"/>
            <w:enabled/>
            <w:calcOnExit w:val="0"/>
            <w:textInput>
              <w:default w:val="[date]"/>
            </w:textInput>
          </w:ffData>
        </w:fldChar>
      </w:r>
      <w:r w:rsidRPr="00DB3F4C">
        <w:rPr>
          <w:rFonts w:asciiTheme="minorHAnsi" w:hAnsiTheme="minorHAnsi" w:cstheme="minorHAnsi"/>
          <w:b/>
          <w:bCs/>
          <w:highlight w:val="yellow"/>
        </w:rPr>
        <w:instrText xml:space="preserve"> FORMTEXT </w:instrText>
      </w:r>
      <w:r w:rsidRPr="00DB3F4C">
        <w:rPr>
          <w:rFonts w:asciiTheme="minorHAnsi" w:hAnsiTheme="minorHAnsi" w:cstheme="minorHAnsi"/>
          <w:b/>
          <w:bCs/>
          <w:highlight w:val="yellow"/>
        </w:rPr>
      </w:r>
      <w:r w:rsidRPr="00DB3F4C">
        <w:rPr>
          <w:rFonts w:asciiTheme="minorHAnsi" w:hAnsiTheme="minorHAnsi" w:cstheme="minorHAnsi"/>
          <w:b/>
          <w:bCs/>
          <w:highlight w:val="yellow"/>
        </w:rPr>
        <w:fldChar w:fldCharType="separate"/>
      </w:r>
      <w:r w:rsidRPr="00DB3F4C">
        <w:rPr>
          <w:rFonts w:asciiTheme="minorHAnsi" w:hAnsiTheme="minorHAnsi" w:cstheme="minorHAnsi"/>
          <w:b/>
          <w:bCs/>
          <w:noProof/>
          <w:highlight w:val="yellow"/>
        </w:rPr>
        <w:t>[date]</w:t>
      </w:r>
      <w:r w:rsidRPr="00DB3F4C">
        <w:rPr>
          <w:rFonts w:asciiTheme="minorHAnsi" w:hAnsiTheme="minorHAnsi" w:cstheme="minorHAnsi"/>
          <w:b/>
          <w:bCs/>
          <w:highlight w:val="yellow"/>
        </w:rPr>
        <w:fldChar w:fldCharType="end"/>
      </w:r>
    </w:p>
    <w:p w14:paraId="241DA0C4" w14:textId="77777777" w:rsidR="0025716F" w:rsidRPr="00F424B7" w:rsidRDefault="0025716F" w:rsidP="0025716F">
      <w:pPr>
        <w:widowControl w:val="0"/>
        <w:rPr>
          <w:rFonts w:asciiTheme="minorHAnsi" w:hAnsiTheme="minorHAnsi" w:cstheme="minorHAnsi"/>
        </w:rPr>
      </w:pPr>
    </w:p>
    <w:p w14:paraId="1FAD3767" w14:textId="09F22564" w:rsidR="0025716F" w:rsidRPr="00DB3F4C" w:rsidRDefault="00DB3F4C" w:rsidP="0025716F">
      <w:pPr>
        <w:rPr>
          <w:rFonts w:asciiTheme="minorHAnsi" w:hAnsiTheme="minorHAnsi" w:cstheme="minorHAnsi"/>
          <w:b/>
          <w:bCs/>
        </w:rPr>
      </w:pPr>
      <w:r w:rsidRPr="00DB3F4C">
        <w:rPr>
          <w:rFonts w:asciiTheme="minorHAnsi" w:hAnsiTheme="minorHAnsi" w:cstheme="minorHAnsi"/>
          <w:b/>
          <w:bCs/>
          <w:highlight w:val="yellow"/>
        </w:rPr>
        <w:fldChar w:fldCharType="begin">
          <w:ffData>
            <w:name w:val=""/>
            <w:enabled/>
            <w:calcOnExit w:val="0"/>
            <w:textInput>
              <w:default w:val="[name and address of Issuer or other addressee at place of presentation as stated in standby]"/>
            </w:textInput>
          </w:ffData>
        </w:fldChar>
      </w:r>
      <w:r w:rsidRPr="00DB3F4C">
        <w:rPr>
          <w:rFonts w:asciiTheme="minorHAnsi" w:hAnsiTheme="minorHAnsi" w:cstheme="minorHAnsi"/>
          <w:b/>
          <w:bCs/>
          <w:highlight w:val="yellow"/>
        </w:rPr>
        <w:instrText xml:space="preserve"> FORMTEXT </w:instrText>
      </w:r>
      <w:r w:rsidRPr="00DB3F4C">
        <w:rPr>
          <w:rFonts w:asciiTheme="minorHAnsi" w:hAnsiTheme="minorHAnsi" w:cstheme="minorHAnsi"/>
          <w:b/>
          <w:bCs/>
          <w:highlight w:val="yellow"/>
        </w:rPr>
      </w:r>
      <w:r w:rsidRPr="00DB3F4C">
        <w:rPr>
          <w:rFonts w:asciiTheme="minorHAnsi" w:hAnsiTheme="minorHAnsi" w:cstheme="minorHAnsi"/>
          <w:b/>
          <w:bCs/>
          <w:highlight w:val="yellow"/>
        </w:rPr>
        <w:fldChar w:fldCharType="separate"/>
      </w:r>
      <w:r w:rsidRPr="00DB3F4C">
        <w:rPr>
          <w:rFonts w:asciiTheme="minorHAnsi" w:hAnsiTheme="minorHAnsi" w:cstheme="minorHAnsi"/>
          <w:b/>
          <w:bCs/>
          <w:noProof/>
          <w:highlight w:val="yellow"/>
        </w:rPr>
        <w:t>[name and address of Issuer or other addressee at place of presentation as stated in standby]</w:t>
      </w:r>
      <w:r w:rsidRPr="00DB3F4C">
        <w:rPr>
          <w:rFonts w:asciiTheme="minorHAnsi" w:hAnsiTheme="minorHAnsi" w:cstheme="minorHAnsi"/>
          <w:b/>
          <w:bCs/>
          <w:highlight w:val="yellow"/>
        </w:rPr>
        <w:fldChar w:fldCharType="end"/>
      </w:r>
    </w:p>
    <w:p w14:paraId="533326BC" w14:textId="77777777" w:rsidR="0025716F" w:rsidRPr="00F424B7" w:rsidRDefault="0025716F" w:rsidP="0025716F">
      <w:pPr>
        <w:rPr>
          <w:rFonts w:asciiTheme="minorHAnsi" w:hAnsiTheme="minorHAnsi" w:cstheme="minorHAnsi"/>
          <w:b/>
        </w:rPr>
      </w:pPr>
    </w:p>
    <w:p w14:paraId="6C61DC9A" w14:textId="18E4188A" w:rsidR="0025716F" w:rsidRPr="00F424B7" w:rsidRDefault="0025716F" w:rsidP="0025716F">
      <w:pPr>
        <w:widowControl w:val="0"/>
        <w:rPr>
          <w:rFonts w:asciiTheme="minorHAnsi" w:hAnsiTheme="minorHAnsi" w:cstheme="minorHAnsi"/>
        </w:rPr>
      </w:pPr>
      <w:r w:rsidRPr="00F424B7">
        <w:rPr>
          <w:rFonts w:asciiTheme="minorHAnsi" w:hAnsiTheme="minorHAnsi" w:cstheme="minorHAnsi"/>
        </w:rPr>
        <w:t xml:space="preserve">Re: Standby Letter of Credit No. </w:t>
      </w:r>
      <w:r w:rsidR="00DB3F4C" w:rsidRPr="00DB3F4C">
        <w:rPr>
          <w:rFonts w:asciiTheme="minorHAnsi" w:hAnsiTheme="minorHAnsi" w:cstheme="minorHAnsi"/>
          <w:b/>
          <w:bCs/>
          <w:highlight w:val="yellow"/>
        </w:rPr>
        <w:fldChar w:fldCharType="begin">
          <w:ffData>
            <w:name w:val=""/>
            <w:enabled/>
            <w:calcOnExit w:val="0"/>
            <w:textInput>
              <w:default w:val="[reference number]"/>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[reference number]</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 xml:space="preserve">, dated </w:t>
      </w:r>
      <w:r w:rsidR="00DB3F4C" w:rsidRPr="00DB3F4C">
        <w:rPr>
          <w:rFonts w:asciiTheme="minorHAnsi" w:hAnsiTheme="minorHAnsi" w:cstheme="minorHAnsi"/>
          <w:b/>
          <w:bCs/>
          <w:highlight w:val="yellow"/>
        </w:rPr>
        <w:fldChar w:fldCharType="begin">
          <w:ffData>
            <w:name w:val="Text8"/>
            <w:enabled/>
            <w:calcOnExit w:val="0"/>
            <w:textInput>
              <w:default w:val="[date]"/>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[date]</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 xml:space="preserve">, issued by </w:t>
      </w:r>
      <w:r w:rsidR="00DB3F4C" w:rsidRPr="00DB3F4C">
        <w:rPr>
          <w:rFonts w:asciiTheme="minorHAnsi" w:hAnsiTheme="minorHAnsi" w:cstheme="minorHAnsi"/>
          <w:b/>
          <w:bCs/>
          <w:highlight w:val="yellow"/>
        </w:rPr>
        <w:fldChar w:fldCharType="begin">
          <w:ffData>
            <w:name w:val=""/>
            <w:enabled/>
            <w:calcOnExit w:val="0"/>
            <w:textInput>
              <w:default w:val="[Issuer’s name]"/>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[Issuer’s name]</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 xml:space="preserve"> (“Standby”).</w:t>
      </w:r>
    </w:p>
    <w:p w14:paraId="0158E5C7" w14:textId="77777777" w:rsidR="0025716F" w:rsidRPr="00F424B7" w:rsidRDefault="0025716F" w:rsidP="0025716F">
      <w:pPr>
        <w:widowControl w:val="0"/>
        <w:rPr>
          <w:rFonts w:asciiTheme="minorHAnsi" w:hAnsiTheme="minorHAnsi" w:cstheme="minorHAnsi"/>
        </w:rPr>
      </w:pPr>
      <w:r w:rsidRPr="00F424B7">
        <w:rPr>
          <w:rFonts w:asciiTheme="minorHAnsi" w:hAnsiTheme="minorHAnsi" w:cstheme="minorHAnsi"/>
        </w:rPr>
        <w:t xml:space="preserve"> </w:t>
      </w:r>
    </w:p>
    <w:p w14:paraId="4A73B113" w14:textId="39C02440" w:rsidR="0025716F" w:rsidRPr="00F424B7" w:rsidRDefault="0025716F" w:rsidP="0025716F">
      <w:pPr>
        <w:rPr>
          <w:rFonts w:asciiTheme="minorHAnsi" w:hAnsiTheme="minorHAnsi" w:cstheme="minorHAnsi"/>
        </w:rPr>
      </w:pPr>
      <w:r w:rsidRPr="00F424B7">
        <w:rPr>
          <w:rFonts w:asciiTheme="minorHAnsi" w:hAnsiTheme="minorHAnsi" w:cstheme="minorHAnsi"/>
        </w:rPr>
        <w:t xml:space="preserve">The undersigned Beneficiary demands payment of USD </w:t>
      </w:r>
      <w:r w:rsidR="00DB3F4C" w:rsidRPr="00DB3F4C">
        <w:rPr>
          <w:rFonts w:asciiTheme="minorHAnsi" w:hAnsiTheme="minorHAnsi" w:cstheme="minorHAnsi"/>
          <w:b/>
          <w:bCs/>
          <w:highlight w:val="yellow"/>
        </w:rPr>
        <w:fldChar w:fldCharType="begin">
          <w:ffData>
            <w:name w:val=""/>
            <w:enabled/>
            <w:calcOnExit w:val="0"/>
            <w:textInput>
              <w:default w:val="[amount]"/>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[amount]</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 xml:space="preserve"> under the Standby.</w:t>
      </w:r>
    </w:p>
    <w:p w14:paraId="535CFF11" w14:textId="77777777" w:rsidR="0025716F" w:rsidRPr="00F424B7" w:rsidRDefault="0025716F" w:rsidP="0025716F">
      <w:pPr>
        <w:rPr>
          <w:rFonts w:asciiTheme="minorHAnsi" w:hAnsiTheme="minorHAnsi" w:cstheme="minorHAnsi"/>
        </w:rPr>
      </w:pPr>
    </w:p>
    <w:p w14:paraId="31B21A53" w14:textId="331E8C26" w:rsidR="0025716F" w:rsidRPr="00F424B7" w:rsidRDefault="0025716F" w:rsidP="0025716F">
      <w:pPr>
        <w:rPr>
          <w:rFonts w:asciiTheme="minorHAnsi" w:hAnsiTheme="minorHAnsi" w:cstheme="minorHAnsi"/>
        </w:rPr>
      </w:pPr>
      <w:r w:rsidRPr="00F424B7">
        <w:rPr>
          <w:rFonts w:asciiTheme="minorHAnsi" w:hAnsiTheme="minorHAnsi" w:cstheme="minorHAnsi"/>
        </w:rPr>
        <w:t xml:space="preserve">Beneficiary states that the Standby is set to expire fewer than </w:t>
      </w:r>
      <w:r w:rsidR="00DB3F4C" w:rsidRPr="00DB3F4C">
        <w:rPr>
          <w:rFonts w:asciiTheme="minorHAnsi" w:hAnsiTheme="minorHAnsi" w:cstheme="minorHAnsi"/>
          <w:b/>
          <w:bCs/>
          <w:highlight w:val="yellow"/>
        </w:rPr>
        <w:fldChar w:fldCharType="begin">
          <w:ffData>
            <w:name w:val=""/>
            <w:enabled/>
            <w:calcOnExit w:val="0"/>
            <w:textInput>
              <w:default w:val="[30]"/>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[30]</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 xml:space="preserve"> days from the date hereof because Issuer has given a notice of non-extension of the Standby[, no retraction of the non-extension notice or satisfactory replacement standby has been timely received,]</w:t>
      </w:r>
      <w:r w:rsidRPr="00F424B7">
        <w:rPr>
          <w:rStyle w:val="EndnoteReference"/>
          <w:rFonts w:asciiTheme="minorHAnsi" w:hAnsiTheme="minorHAnsi" w:cstheme="minorHAnsi"/>
        </w:rPr>
        <w:t xml:space="preserve"> </w:t>
      </w:r>
      <w:r w:rsidRPr="00F424B7">
        <w:rPr>
          <w:rStyle w:val="EndnoteReference"/>
          <w:rFonts w:asciiTheme="minorHAnsi" w:hAnsiTheme="minorHAnsi" w:cstheme="minorHAnsi"/>
        </w:rPr>
        <w:endnoteReference w:id="37"/>
      </w:r>
      <w:r w:rsidRPr="00F424B7">
        <w:rPr>
          <w:rFonts w:asciiTheme="minorHAnsi" w:hAnsiTheme="minorHAnsi" w:cstheme="minorHAnsi"/>
        </w:rPr>
        <w:t xml:space="preserve"> and the amount demanded is required to secure the obligations of Applicant as provided in </w:t>
      </w:r>
      <w:r w:rsidR="00DB3F4C" w:rsidRPr="00DB3F4C">
        <w:rPr>
          <w:rFonts w:asciiTheme="minorHAnsi" w:hAnsiTheme="minorHAnsi" w:cstheme="minorHAnsi"/>
          <w:b/>
          <w:bCs/>
          <w:highlight w:val="yellow"/>
        </w:rPr>
        <w:fldChar w:fldCharType="begin">
          <w:ffData>
            <w:name w:val=""/>
            <w:enabled/>
            <w:calcOnExit w:val="0"/>
            <w:textInput>
              <w:default w:val="[the contract, regulation or other document that identifies the underlying obligations to the government beneficiary]"/>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[the contract, regulation or other document that identifies the underlying obligations to the government beneficiary]</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w:t>
      </w:r>
    </w:p>
    <w:p w14:paraId="18A8B241" w14:textId="77777777" w:rsidR="0025716F" w:rsidRPr="00F424B7" w:rsidRDefault="0025716F" w:rsidP="0025716F">
      <w:pPr>
        <w:rPr>
          <w:rFonts w:asciiTheme="minorHAnsi" w:hAnsiTheme="minorHAnsi" w:cstheme="minorHAnsi"/>
        </w:rPr>
      </w:pPr>
    </w:p>
    <w:p w14:paraId="1ACB21C3" w14:textId="3553DE13" w:rsidR="0025716F" w:rsidRPr="00F424B7" w:rsidRDefault="0025716F" w:rsidP="0025716F">
      <w:pPr>
        <w:rPr>
          <w:rFonts w:asciiTheme="minorHAnsi" w:hAnsiTheme="minorHAnsi" w:cstheme="minorHAnsi"/>
        </w:rPr>
      </w:pPr>
      <w:r w:rsidRPr="00F424B7">
        <w:rPr>
          <w:rFonts w:asciiTheme="minorHAnsi" w:hAnsiTheme="minorHAnsi" w:cstheme="minorHAnsi"/>
        </w:rPr>
        <w:t>Beneficiary requests that payment be made by wire transfer to an account of Beneficiary as follows</w:t>
      </w:r>
      <w:r w:rsidR="00DB3F4C">
        <w:rPr>
          <w:rFonts w:asciiTheme="minorHAnsi" w:hAnsiTheme="minorHAnsi" w:cstheme="minorHAnsi"/>
        </w:rPr>
        <w:t xml:space="preserve">: </w:t>
      </w:r>
      <w:r w:rsidR="00DB3F4C" w:rsidRPr="00DB3F4C">
        <w:rPr>
          <w:rFonts w:asciiTheme="minorHAnsi" w:hAnsiTheme="minorHAnsi" w:cstheme="minorHAnsi"/>
          <w:b/>
          <w:bCs/>
          <w:highlight w:val="yellow"/>
        </w:rPr>
        <w:fldChar w:fldCharType="begin">
          <w:ffData>
            <w:name w:val=""/>
            <w:enabled/>
            <w:calcOnExit w:val="0"/>
            <w:textInput>
              <w:default w:val="[name, address, and routing number of beneficiary’s bank, and name and number of beneficiary’s account]"/>
            </w:textInput>
          </w:ffData>
        </w:fldChar>
      </w:r>
      <w:r w:rsidR="00DB3F4C" w:rsidRPr="00DB3F4C">
        <w:rPr>
          <w:rFonts w:asciiTheme="minorHAnsi" w:hAnsiTheme="minorHAnsi" w:cstheme="minorHAnsi"/>
          <w:b/>
          <w:bCs/>
          <w:highlight w:val="yellow"/>
        </w:rPr>
        <w:instrText xml:space="preserve"> FORMTEXT </w:instrText>
      </w:r>
      <w:r w:rsidR="00DB3F4C" w:rsidRPr="00DB3F4C">
        <w:rPr>
          <w:rFonts w:asciiTheme="minorHAnsi" w:hAnsiTheme="minorHAnsi" w:cstheme="minorHAnsi"/>
          <w:b/>
          <w:bCs/>
          <w:highlight w:val="yellow"/>
        </w:rPr>
      </w:r>
      <w:r w:rsidR="00DB3F4C" w:rsidRPr="00DB3F4C">
        <w:rPr>
          <w:rFonts w:asciiTheme="minorHAnsi" w:hAnsiTheme="minorHAnsi" w:cstheme="minorHAnsi"/>
          <w:b/>
          <w:bCs/>
          <w:highlight w:val="yellow"/>
        </w:rPr>
        <w:fldChar w:fldCharType="separate"/>
      </w:r>
      <w:r w:rsidR="00DB3F4C" w:rsidRPr="00DB3F4C">
        <w:rPr>
          <w:rFonts w:asciiTheme="minorHAnsi" w:hAnsiTheme="minorHAnsi" w:cstheme="minorHAnsi"/>
          <w:b/>
          <w:bCs/>
          <w:noProof/>
          <w:highlight w:val="yellow"/>
        </w:rPr>
        <w:t>[name, address, and routing number of beneficiary’s bank, and name and number of beneficiary’s account]</w:t>
      </w:r>
      <w:r w:rsidR="00DB3F4C" w:rsidRPr="00DB3F4C">
        <w:rPr>
          <w:rFonts w:asciiTheme="minorHAnsi" w:hAnsiTheme="minorHAnsi" w:cstheme="minorHAnsi"/>
          <w:b/>
          <w:bCs/>
          <w:highlight w:val="yellow"/>
        </w:rPr>
        <w:fldChar w:fldCharType="end"/>
      </w:r>
      <w:r w:rsidRPr="00F424B7">
        <w:rPr>
          <w:rFonts w:asciiTheme="minorHAnsi" w:hAnsiTheme="minorHAnsi" w:cstheme="minorHAnsi"/>
        </w:rPr>
        <w:t>.</w:t>
      </w:r>
    </w:p>
    <w:p w14:paraId="7DDAE784" w14:textId="77777777" w:rsidR="0025716F" w:rsidRPr="00F424B7" w:rsidRDefault="0025716F" w:rsidP="0025716F">
      <w:pPr>
        <w:widowControl w:val="0"/>
        <w:ind w:left="4320" w:firstLine="720"/>
        <w:rPr>
          <w:rFonts w:asciiTheme="minorHAnsi" w:hAnsiTheme="minorHAnsi" w:cstheme="minorHAnsi"/>
        </w:rPr>
      </w:pPr>
    </w:p>
    <w:p w14:paraId="51F09D33" w14:textId="0522A11F" w:rsidR="0025716F" w:rsidRPr="008E485B" w:rsidRDefault="00DB3F4C" w:rsidP="0025716F">
      <w:pPr>
        <w:widowControl w:val="0"/>
        <w:ind w:left="4320" w:firstLine="720"/>
        <w:rPr>
          <w:rFonts w:asciiTheme="minorHAnsi" w:hAnsiTheme="minorHAnsi" w:cstheme="minorHAnsi"/>
          <w:b/>
          <w:bCs/>
        </w:rPr>
      </w:pPr>
      <w:r w:rsidRPr="008E485B">
        <w:rPr>
          <w:rFonts w:asciiTheme="minorHAnsi" w:hAnsiTheme="minorHAnsi" w:cstheme="minorHAnsi"/>
          <w:b/>
          <w:bCs/>
          <w:highlight w:val="yellow"/>
        </w:rPr>
        <w:fldChar w:fldCharType="begin">
          <w:ffData>
            <w:name w:val=""/>
            <w:enabled/>
            <w:calcOnExit w:val="0"/>
            <w:textInput>
              <w:default w:val="[Beneficiary’s name and address]"/>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[Beneficiary’s name and address]</w:t>
      </w:r>
      <w:r w:rsidRPr="008E485B">
        <w:rPr>
          <w:rFonts w:asciiTheme="minorHAnsi" w:hAnsiTheme="minorHAnsi" w:cstheme="minorHAnsi"/>
          <w:b/>
          <w:bCs/>
          <w:highlight w:val="yellow"/>
        </w:rPr>
        <w:fldChar w:fldCharType="end"/>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r w:rsidR="0025716F" w:rsidRPr="008E485B">
        <w:rPr>
          <w:rFonts w:asciiTheme="minorHAnsi" w:hAnsiTheme="minorHAnsi" w:cstheme="minorHAnsi"/>
          <w:b/>
          <w:bCs/>
        </w:rPr>
        <w:tab/>
      </w:r>
    </w:p>
    <w:p w14:paraId="16CB9D40" w14:textId="77777777" w:rsidR="0025716F" w:rsidRPr="00F424B7" w:rsidRDefault="0025716F" w:rsidP="0025716F">
      <w:pPr>
        <w:widowControl w:val="0"/>
        <w:rPr>
          <w:rFonts w:asciiTheme="minorHAnsi" w:hAnsiTheme="minorHAnsi" w:cstheme="minorHAnsi"/>
        </w:rPr>
      </w:pPr>
      <w:r w:rsidRPr="00F424B7">
        <w:rPr>
          <w:rFonts w:asciiTheme="minorHAnsi" w:hAnsiTheme="minorHAnsi" w:cstheme="minorHAnsi"/>
        </w:rPr>
        <w:tab/>
      </w:r>
      <w:r w:rsidRPr="00F424B7">
        <w:rPr>
          <w:rFonts w:asciiTheme="minorHAnsi" w:hAnsiTheme="minorHAnsi" w:cstheme="minorHAnsi"/>
        </w:rPr>
        <w:tab/>
      </w:r>
      <w:r w:rsidRPr="00F424B7">
        <w:rPr>
          <w:rFonts w:asciiTheme="minorHAnsi" w:hAnsiTheme="minorHAnsi" w:cstheme="minorHAnsi"/>
        </w:rPr>
        <w:tab/>
      </w:r>
      <w:r w:rsidRPr="00F424B7">
        <w:rPr>
          <w:rFonts w:asciiTheme="minorHAnsi" w:hAnsiTheme="minorHAnsi" w:cstheme="minorHAnsi"/>
        </w:rPr>
        <w:tab/>
      </w:r>
      <w:r w:rsidRPr="00F424B7">
        <w:rPr>
          <w:rFonts w:asciiTheme="minorHAnsi" w:hAnsiTheme="minorHAnsi" w:cstheme="minorHAnsi"/>
        </w:rPr>
        <w:tab/>
      </w:r>
      <w:r w:rsidRPr="00F424B7">
        <w:rPr>
          <w:rFonts w:asciiTheme="minorHAnsi" w:hAnsiTheme="minorHAnsi" w:cstheme="minorHAnsi"/>
        </w:rPr>
        <w:tab/>
      </w:r>
      <w:r w:rsidRPr="00F424B7">
        <w:rPr>
          <w:rFonts w:asciiTheme="minorHAnsi" w:hAnsiTheme="minorHAnsi" w:cstheme="minorHAnsi"/>
        </w:rPr>
        <w:tab/>
        <w:t xml:space="preserve">By its authorized officer: </w:t>
      </w:r>
    </w:p>
    <w:p w14:paraId="1C5C4D0F" w14:textId="77777777" w:rsidR="0025716F" w:rsidRPr="00F424B7" w:rsidRDefault="0025716F" w:rsidP="0025716F">
      <w:pPr>
        <w:widowControl w:val="0"/>
        <w:rPr>
          <w:rFonts w:asciiTheme="minorHAnsi" w:hAnsiTheme="minorHAnsi" w:cstheme="minorHAnsi"/>
        </w:rPr>
      </w:pPr>
    </w:p>
    <w:p w14:paraId="1A2A4C30" w14:textId="77777777" w:rsidR="0025716F" w:rsidRDefault="0025716F" w:rsidP="0025716F">
      <w:pPr>
        <w:widowControl w:val="0"/>
        <w:rPr>
          <w:rFonts w:asciiTheme="minorHAnsi" w:hAnsiTheme="minorHAnsi" w:cstheme="minorHAnsi"/>
        </w:rPr>
      </w:pPr>
    </w:p>
    <w:p w14:paraId="49528184" w14:textId="77777777" w:rsidR="00DB3F4C" w:rsidRPr="00BC2579" w:rsidRDefault="00DB3F4C" w:rsidP="00DB3F4C">
      <w:pPr>
        <w:widowControl w:val="0"/>
        <w:rPr>
          <w:rFonts w:asciiTheme="minorHAnsi" w:hAnsiTheme="minorHAnsi" w:cstheme="minorHAnsi"/>
        </w:rPr>
      </w:pPr>
    </w:p>
    <w:p w14:paraId="7D3F7280" w14:textId="77777777" w:rsidR="00DB3F4C" w:rsidRPr="00BC2579" w:rsidRDefault="00DB3F4C" w:rsidP="00DB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u w:val="single"/>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u w:val="single"/>
        </w:rPr>
        <w:t>____________________</w:t>
      </w:r>
    </w:p>
    <w:p w14:paraId="061898A2" w14:textId="77777777" w:rsidR="00DB3F4C" w:rsidRPr="008E485B" w:rsidRDefault="00DB3F4C" w:rsidP="00DB3F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color w:val="000000"/>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8E485B">
        <w:rPr>
          <w:rFonts w:asciiTheme="minorHAnsi" w:hAnsiTheme="minorHAnsi" w:cstheme="minorHAnsi"/>
          <w:b/>
          <w:bCs/>
          <w:highlight w:val="yellow"/>
        </w:rPr>
        <w:fldChar w:fldCharType="begin">
          <w:ffData>
            <w:name w:val=""/>
            <w:enabled/>
            <w:calcOnExit w:val="0"/>
            <w:textInput>
              <w:default w:val="[Original Signature]"/>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[Original Signature]</w:t>
      </w:r>
      <w:r w:rsidRPr="008E485B">
        <w:rPr>
          <w:rFonts w:asciiTheme="minorHAnsi" w:hAnsiTheme="minorHAnsi" w:cstheme="minorHAnsi"/>
          <w:b/>
          <w:bCs/>
          <w:highlight w:val="yellow"/>
        </w:rPr>
        <w:fldChar w:fldCharType="end"/>
      </w:r>
    </w:p>
    <w:p w14:paraId="78A42357" w14:textId="77777777" w:rsidR="00DB3F4C" w:rsidRPr="008E485B" w:rsidRDefault="00DB3F4C" w:rsidP="00DB3F4C">
      <w:pPr>
        <w:widowControl w:val="0"/>
        <w:rPr>
          <w:rFonts w:asciiTheme="minorHAnsi" w:hAnsiTheme="minorHAnsi" w:cstheme="minorHAnsi"/>
          <w:b/>
          <w:bCs/>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8E485B">
        <w:rPr>
          <w:rFonts w:asciiTheme="minorHAnsi" w:hAnsiTheme="minorHAnsi" w:cstheme="minorHAnsi"/>
          <w:b/>
          <w:bCs/>
          <w:highlight w:val="yellow"/>
        </w:rPr>
        <w:fldChar w:fldCharType="begin">
          <w:ffData>
            <w:name w:val=""/>
            <w:enabled/>
            <w:calcOnExit w:val="0"/>
            <w:textInput>
              <w:default w:val="[Name and Title]"/>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[Name and Title]</w:t>
      </w:r>
      <w:r w:rsidRPr="008E485B">
        <w:rPr>
          <w:rFonts w:asciiTheme="minorHAnsi" w:hAnsiTheme="minorHAnsi" w:cstheme="minorHAnsi"/>
          <w:b/>
          <w:bCs/>
          <w:highlight w:val="yellow"/>
        </w:rPr>
        <w:fldChar w:fldCharType="end"/>
      </w:r>
    </w:p>
    <w:p w14:paraId="52740E39" w14:textId="77777777" w:rsidR="00DB3F4C" w:rsidRPr="00A31F1D" w:rsidRDefault="00DB3F4C" w:rsidP="0025716F">
      <w:pPr>
        <w:widowControl w:val="0"/>
        <w:rPr>
          <w:rFonts w:asciiTheme="minorHAnsi" w:hAnsiTheme="minorHAnsi" w:cstheme="minorHAnsi"/>
        </w:rPr>
      </w:pPr>
    </w:p>
    <w:p w14:paraId="5E8A40B2" w14:textId="792E4ADB" w:rsidR="00A31F1D" w:rsidRDefault="00A31F1D">
      <w:pPr>
        <w:rPr>
          <w:rFonts w:asciiTheme="minorHAnsi" w:hAnsiTheme="minorHAnsi" w:cstheme="minorHAnsi"/>
          <w:szCs w:val="24"/>
        </w:rPr>
      </w:pPr>
      <w:r>
        <w:rPr>
          <w:rFonts w:asciiTheme="minorHAnsi" w:hAnsiTheme="minorHAnsi" w:cstheme="minorHAnsi"/>
          <w:szCs w:val="24"/>
        </w:rPr>
        <w:br w:type="page"/>
      </w:r>
    </w:p>
    <w:p w14:paraId="20426331" w14:textId="77777777" w:rsidR="00A31F1D" w:rsidRPr="000C5102" w:rsidRDefault="00A31F1D" w:rsidP="00A31F1D">
      <w:pPr>
        <w:pStyle w:val="Heading1"/>
        <w:jc w:val="center"/>
        <w:rPr>
          <w:rFonts w:asciiTheme="minorHAnsi" w:hAnsiTheme="minorHAnsi" w:cstheme="minorHAnsi"/>
          <w:b/>
          <w:iCs/>
          <w:sz w:val="32"/>
          <w:szCs w:val="24"/>
        </w:rPr>
      </w:pPr>
      <w:r w:rsidRPr="000C5102">
        <w:rPr>
          <w:rFonts w:asciiTheme="minorHAnsi" w:hAnsiTheme="minorHAnsi" w:cstheme="minorHAnsi"/>
          <w:b/>
          <w:iCs/>
          <w:sz w:val="32"/>
          <w:szCs w:val="24"/>
        </w:rPr>
        <w:lastRenderedPageBreak/>
        <w:t xml:space="preserve">Annex </w:t>
      </w:r>
      <w:r>
        <w:rPr>
          <w:rFonts w:asciiTheme="minorHAnsi" w:hAnsiTheme="minorHAnsi" w:cstheme="minorHAnsi"/>
          <w:b/>
          <w:iCs/>
          <w:sz w:val="32"/>
          <w:szCs w:val="24"/>
        </w:rPr>
        <w:t>C</w:t>
      </w:r>
      <w:r w:rsidRPr="000C5102">
        <w:rPr>
          <w:rFonts w:asciiTheme="minorHAnsi" w:hAnsiTheme="minorHAnsi" w:cstheme="minorHAnsi"/>
          <w:b/>
          <w:iCs/>
          <w:sz w:val="32"/>
          <w:szCs w:val="24"/>
        </w:rPr>
        <w:t xml:space="preserve">: Demand </w:t>
      </w:r>
      <w:r>
        <w:rPr>
          <w:rFonts w:asciiTheme="minorHAnsi" w:hAnsiTheme="minorHAnsi" w:cstheme="minorHAnsi"/>
          <w:b/>
          <w:iCs/>
          <w:sz w:val="32"/>
          <w:szCs w:val="24"/>
        </w:rPr>
        <w:t>for Change of Beneficiary’s Address</w:t>
      </w:r>
    </w:p>
    <w:p w14:paraId="2DE4166F" w14:textId="77777777" w:rsidR="00A31F1D" w:rsidRDefault="00A31F1D" w:rsidP="00A31F1D">
      <w:pPr>
        <w:outlineLvl w:val="0"/>
        <w:rPr>
          <w:rFonts w:asciiTheme="minorHAnsi" w:hAnsiTheme="minorHAnsi" w:cstheme="minorHAnsi"/>
          <w:iCs/>
          <w:szCs w:val="24"/>
        </w:rPr>
      </w:pPr>
    </w:p>
    <w:p w14:paraId="223D6CAE" w14:textId="4FF20DC9" w:rsidR="00A31F1D" w:rsidRPr="008E485B" w:rsidRDefault="008E485B" w:rsidP="00A31F1D">
      <w:pPr>
        <w:widowControl w:val="0"/>
        <w:rPr>
          <w:rFonts w:asciiTheme="minorHAnsi" w:hAnsiTheme="minorHAnsi" w:cstheme="minorHAnsi"/>
          <w:b/>
          <w:bCs/>
          <w:iCs/>
        </w:rPr>
      </w:pPr>
      <w:r w:rsidRPr="008E485B">
        <w:rPr>
          <w:rFonts w:asciiTheme="minorHAnsi" w:hAnsiTheme="minorHAnsi" w:cstheme="minorHAnsi"/>
          <w:b/>
          <w:bCs/>
          <w:highlight w:val="yellow"/>
        </w:rPr>
        <w:fldChar w:fldCharType="begin">
          <w:ffData>
            <w:name w:val="Text8"/>
            <w:enabled/>
            <w:calcOnExit w:val="0"/>
            <w:textInput>
              <w:default w:val="[date]"/>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[date]</w:t>
      </w:r>
      <w:r w:rsidRPr="008E485B">
        <w:rPr>
          <w:rFonts w:asciiTheme="minorHAnsi" w:hAnsiTheme="minorHAnsi" w:cstheme="minorHAnsi"/>
          <w:b/>
          <w:bCs/>
          <w:highlight w:val="yellow"/>
        </w:rPr>
        <w:fldChar w:fldCharType="end"/>
      </w:r>
    </w:p>
    <w:p w14:paraId="297F0636" w14:textId="77777777" w:rsidR="00A31F1D" w:rsidRPr="000C5102" w:rsidRDefault="00A31F1D" w:rsidP="00A31F1D">
      <w:pPr>
        <w:widowControl w:val="0"/>
        <w:rPr>
          <w:rFonts w:asciiTheme="minorHAnsi" w:hAnsiTheme="minorHAnsi" w:cstheme="minorHAnsi"/>
          <w:iCs/>
        </w:rPr>
      </w:pPr>
    </w:p>
    <w:p w14:paraId="091E0589" w14:textId="4619E6D7" w:rsidR="00A31F1D" w:rsidRPr="008E485B" w:rsidRDefault="008E485B" w:rsidP="008E485B">
      <w:pPr>
        <w:widowControl w:val="0"/>
        <w:rPr>
          <w:rFonts w:asciiTheme="minorHAnsi" w:hAnsiTheme="minorHAnsi" w:cstheme="minorHAnsi"/>
          <w:b/>
          <w:bCs/>
          <w:iCs/>
        </w:rPr>
      </w:pPr>
      <w:r w:rsidRPr="008E485B">
        <w:rPr>
          <w:rFonts w:asciiTheme="minorHAnsi" w:hAnsiTheme="minorHAnsi" w:cstheme="minorHAnsi"/>
          <w:b/>
          <w:bCs/>
          <w:highlight w:val="yellow"/>
        </w:rPr>
        <w:fldChar w:fldCharType="begin">
          <w:ffData>
            <w:name w:val=""/>
            <w:enabled/>
            <w:calcOnExit w:val="0"/>
            <w:textInput>
              <w:default w:val="[name and address of Issuer or other addressee at place of presentation as stated in standby]"/>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[name and address of Issuer or other addressee at place of presentation as stated in standby]</w:t>
      </w:r>
      <w:r w:rsidRPr="008E485B">
        <w:rPr>
          <w:rFonts w:asciiTheme="minorHAnsi" w:hAnsiTheme="minorHAnsi" w:cstheme="minorHAnsi"/>
          <w:b/>
          <w:bCs/>
          <w:highlight w:val="yellow"/>
        </w:rPr>
        <w:fldChar w:fldCharType="end"/>
      </w:r>
    </w:p>
    <w:p w14:paraId="5FC709EC" w14:textId="77777777" w:rsidR="00A31F1D" w:rsidRPr="000C5102" w:rsidRDefault="00A31F1D" w:rsidP="00A31F1D">
      <w:pPr>
        <w:rPr>
          <w:rFonts w:asciiTheme="minorHAnsi" w:hAnsiTheme="minorHAnsi" w:cstheme="minorHAnsi"/>
          <w:b/>
          <w:iCs/>
        </w:rPr>
      </w:pPr>
    </w:p>
    <w:p w14:paraId="71D48291" w14:textId="6223C1D3" w:rsidR="00A31F1D" w:rsidRPr="000C5102" w:rsidRDefault="00A31F1D" w:rsidP="00A31F1D">
      <w:pPr>
        <w:widowControl w:val="0"/>
        <w:rPr>
          <w:rFonts w:asciiTheme="minorHAnsi" w:hAnsiTheme="minorHAnsi" w:cstheme="minorHAnsi"/>
          <w:iCs/>
        </w:rPr>
      </w:pPr>
      <w:r w:rsidRPr="000C5102">
        <w:rPr>
          <w:rFonts w:asciiTheme="minorHAnsi" w:hAnsiTheme="minorHAnsi" w:cstheme="minorHAnsi"/>
          <w:iCs/>
        </w:rPr>
        <w:t xml:space="preserve">Re: Standby Letter of Credit No. </w:t>
      </w:r>
      <w:r w:rsidR="008E485B" w:rsidRPr="008E485B">
        <w:rPr>
          <w:rFonts w:asciiTheme="minorHAnsi" w:hAnsiTheme="minorHAnsi" w:cstheme="minorHAnsi"/>
          <w:b/>
          <w:bCs/>
          <w:highlight w:val="yellow"/>
        </w:rPr>
        <w:fldChar w:fldCharType="begin">
          <w:ffData>
            <w:name w:val=""/>
            <w:enabled/>
            <w:calcOnExit w:val="0"/>
            <w:textInput>
              <w:default w:val="[reference number]"/>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[reference number]</w:t>
      </w:r>
      <w:r w:rsidR="008E485B" w:rsidRPr="008E485B">
        <w:rPr>
          <w:rFonts w:asciiTheme="minorHAnsi" w:hAnsiTheme="minorHAnsi" w:cstheme="minorHAnsi"/>
          <w:b/>
          <w:bCs/>
          <w:highlight w:val="yellow"/>
        </w:rPr>
        <w:fldChar w:fldCharType="end"/>
      </w:r>
      <w:r w:rsidRPr="000C5102">
        <w:rPr>
          <w:rFonts w:asciiTheme="minorHAnsi" w:hAnsiTheme="minorHAnsi" w:cstheme="minorHAnsi"/>
          <w:iCs/>
        </w:rPr>
        <w:t xml:space="preserve">, dated </w:t>
      </w:r>
      <w:r w:rsidR="008E485B" w:rsidRPr="008E485B">
        <w:rPr>
          <w:rFonts w:asciiTheme="minorHAnsi" w:hAnsiTheme="minorHAnsi" w:cstheme="minorHAnsi"/>
          <w:b/>
          <w:bCs/>
          <w:highlight w:val="yellow"/>
        </w:rPr>
        <w:fldChar w:fldCharType="begin">
          <w:ffData>
            <w:name w:val="Text8"/>
            <w:enabled/>
            <w:calcOnExit w:val="0"/>
            <w:textInput>
              <w:default w:val="[date]"/>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[date]</w:t>
      </w:r>
      <w:r w:rsidR="008E485B" w:rsidRPr="008E485B">
        <w:rPr>
          <w:rFonts w:asciiTheme="minorHAnsi" w:hAnsiTheme="minorHAnsi" w:cstheme="minorHAnsi"/>
          <w:b/>
          <w:bCs/>
          <w:highlight w:val="yellow"/>
        </w:rPr>
        <w:fldChar w:fldCharType="end"/>
      </w:r>
      <w:r w:rsidRPr="000C5102">
        <w:rPr>
          <w:rFonts w:asciiTheme="minorHAnsi" w:hAnsiTheme="minorHAnsi" w:cstheme="minorHAnsi"/>
          <w:iCs/>
        </w:rPr>
        <w:t xml:space="preserve">, issued by </w:t>
      </w:r>
      <w:r w:rsidR="008E485B" w:rsidRPr="008E485B">
        <w:rPr>
          <w:rFonts w:asciiTheme="minorHAnsi" w:hAnsiTheme="minorHAnsi" w:cstheme="minorHAnsi"/>
          <w:b/>
          <w:bCs/>
          <w:highlight w:val="yellow"/>
        </w:rPr>
        <w:fldChar w:fldCharType="begin">
          <w:ffData>
            <w:name w:val=""/>
            <w:enabled/>
            <w:calcOnExit w:val="0"/>
            <w:textInput>
              <w:default w:val="[Issuer’s name]"/>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[Issuer’s name]</w:t>
      </w:r>
      <w:r w:rsidR="008E485B" w:rsidRPr="008E485B">
        <w:rPr>
          <w:rFonts w:asciiTheme="minorHAnsi" w:hAnsiTheme="minorHAnsi" w:cstheme="minorHAnsi"/>
          <w:b/>
          <w:bCs/>
          <w:highlight w:val="yellow"/>
        </w:rPr>
        <w:fldChar w:fldCharType="end"/>
      </w:r>
      <w:r w:rsidRPr="000C5102">
        <w:rPr>
          <w:rFonts w:asciiTheme="minorHAnsi" w:hAnsiTheme="minorHAnsi" w:cstheme="minorHAnsi"/>
          <w:iCs/>
        </w:rPr>
        <w:t xml:space="preserve"> (“Standby”).</w:t>
      </w:r>
    </w:p>
    <w:p w14:paraId="00A1DABB" w14:textId="77777777" w:rsidR="00A31F1D" w:rsidRPr="000C5102" w:rsidRDefault="00A31F1D" w:rsidP="00A31F1D">
      <w:pPr>
        <w:widowControl w:val="0"/>
        <w:rPr>
          <w:rFonts w:asciiTheme="minorHAnsi" w:hAnsiTheme="minorHAnsi" w:cstheme="minorHAnsi"/>
          <w:iCs/>
        </w:rPr>
      </w:pPr>
      <w:r w:rsidRPr="000C5102">
        <w:rPr>
          <w:rFonts w:asciiTheme="minorHAnsi" w:hAnsiTheme="minorHAnsi" w:cstheme="minorHAnsi"/>
          <w:iCs/>
        </w:rPr>
        <w:t xml:space="preserve"> </w:t>
      </w:r>
    </w:p>
    <w:p w14:paraId="5C50FAB1" w14:textId="40CE2AB3" w:rsidR="00A31F1D" w:rsidRDefault="00A31F1D" w:rsidP="00A31F1D">
      <w:pPr>
        <w:rPr>
          <w:rFonts w:asciiTheme="minorHAnsi" w:hAnsiTheme="minorHAnsi" w:cstheme="minorHAnsi"/>
          <w:iCs/>
        </w:rPr>
      </w:pPr>
      <w:r w:rsidRPr="000C5102">
        <w:rPr>
          <w:rFonts w:asciiTheme="minorHAnsi" w:hAnsiTheme="minorHAnsi" w:cstheme="minorHAnsi"/>
          <w:iCs/>
        </w:rPr>
        <w:t xml:space="preserve">The undersigned Beneficiary demands </w:t>
      </w:r>
      <w:r w:rsidRPr="00FD4F8E">
        <w:rPr>
          <w:rFonts w:asciiTheme="minorHAnsi" w:hAnsiTheme="minorHAnsi" w:cstheme="minorHAnsi"/>
          <w:iCs/>
        </w:rPr>
        <w:t xml:space="preserve">that its address for sending all communications related to the Standby be changed from </w:t>
      </w:r>
      <w:r w:rsidR="008E485B" w:rsidRPr="008E485B">
        <w:rPr>
          <w:rFonts w:asciiTheme="minorHAnsi" w:hAnsiTheme="minorHAnsi" w:cstheme="minorHAnsi"/>
          <w:b/>
          <w:bCs/>
          <w:highlight w:val="yellow"/>
        </w:rPr>
        <w:fldChar w:fldCharType="begin">
          <w:ffData>
            <w:name w:val=""/>
            <w:enabled/>
            <w:calcOnExit w:val="0"/>
            <w:textInput>
              <w:default w:val="[insert prior address]"/>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[insert prior address]</w:t>
      </w:r>
      <w:r w:rsidR="008E485B" w:rsidRPr="008E485B">
        <w:rPr>
          <w:rFonts w:asciiTheme="minorHAnsi" w:hAnsiTheme="minorHAnsi" w:cstheme="minorHAnsi"/>
          <w:b/>
          <w:bCs/>
          <w:highlight w:val="yellow"/>
        </w:rPr>
        <w:fldChar w:fldCharType="end"/>
      </w:r>
      <w:r w:rsidRPr="00FD4F8E">
        <w:rPr>
          <w:rFonts w:asciiTheme="minorHAnsi" w:hAnsiTheme="minorHAnsi" w:cstheme="minorHAnsi"/>
          <w:iCs/>
        </w:rPr>
        <w:t xml:space="preserve"> to </w:t>
      </w:r>
      <w:r w:rsidR="008E485B" w:rsidRPr="008E485B">
        <w:rPr>
          <w:rFonts w:asciiTheme="minorHAnsi" w:hAnsiTheme="minorHAnsi" w:cstheme="minorHAnsi"/>
          <w:b/>
          <w:bCs/>
          <w:highlight w:val="yellow"/>
        </w:rPr>
        <w:fldChar w:fldCharType="begin">
          <w:ffData>
            <w:name w:val=""/>
            <w:enabled/>
            <w:calcOnExit w:val="0"/>
            <w:textInput>
              <w:default w:val="[insert new address]"/>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[insert new address]</w:t>
      </w:r>
      <w:r w:rsidR="008E485B" w:rsidRPr="008E485B">
        <w:rPr>
          <w:rFonts w:asciiTheme="minorHAnsi" w:hAnsiTheme="minorHAnsi" w:cstheme="minorHAnsi"/>
          <w:b/>
          <w:bCs/>
          <w:highlight w:val="yellow"/>
        </w:rPr>
        <w:fldChar w:fldCharType="end"/>
      </w:r>
      <w:r w:rsidRPr="00FD4F8E">
        <w:rPr>
          <w:rFonts w:asciiTheme="minorHAnsi" w:hAnsiTheme="minorHAnsi" w:cstheme="minorHAnsi"/>
          <w:iCs/>
        </w:rPr>
        <w:t xml:space="preserve">, effective on the later of Issuer's receipt or </w:t>
      </w:r>
      <w:r w:rsidR="008E485B" w:rsidRPr="008E485B">
        <w:rPr>
          <w:rFonts w:asciiTheme="minorHAnsi" w:hAnsiTheme="minorHAnsi" w:cstheme="minorHAnsi"/>
          <w:b/>
          <w:bCs/>
          <w:highlight w:val="yellow"/>
        </w:rPr>
        <w:fldChar w:fldCharType="begin">
          <w:ffData>
            <w:name w:val="Text8"/>
            <w:enabled/>
            <w:calcOnExit w:val="0"/>
            <w:textInput>
              <w:default w:val="[date]"/>
            </w:textInput>
          </w:ffData>
        </w:fldChar>
      </w:r>
      <w:r w:rsidR="008E485B" w:rsidRPr="008E485B">
        <w:rPr>
          <w:rFonts w:asciiTheme="minorHAnsi" w:hAnsiTheme="minorHAnsi" w:cstheme="minorHAnsi"/>
          <w:b/>
          <w:bCs/>
          <w:highlight w:val="yellow"/>
        </w:rPr>
        <w:instrText xml:space="preserve"> FORMTEXT </w:instrText>
      </w:r>
      <w:r w:rsidR="008E485B" w:rsidRPr="008E485B">
        <w:rPr>
          <w:rFonts w:asciiTheme="minorHAnsi" w:hAnsiTheme="minorHAnsi" w:cstheme="minorHAnsi"/>
          <w:b/>
          <w:bCs/>
          <w:highlight w:val="yellow"/>
        </w:rPr>
      </w:r>
      <w:r w:rsidR="008E485B" w:rsidRPr="008E485B">
        <w:rPr>
          <w:rFonts w:asciiTheme="minorHAnsi" w:hAnsiTheme="minorHAnsi" w:cstheme="minorHAnsi"/>
          <w:b/>
          <w:bCs/>
          <w:highlight w:val="yellow"/>
        </w:rPr>
        <w:fldChar w:fldCharType="separate"/>
      </w:r>
      <w:r w:rsidR="008E485B" w:rsidRPr="008E485B">
        <w:rPr>
          <w:rFonts w:asciiTheme="minorHAnsi" w:hAnsiTheme="minorHAnsi" w:cstheme="minorHAnsi"/>
          <w:b/>
          <w:bCs/>
          <w:noProof/>
          <w:highlight w:val="yellow"/>
        </w:rPr>
        <w:t>[date]</w:t>
      </w:r>
      <w:r w:rsidR="008E485B" w:rsidRPr="008E485B">
        <w:rPr>
          <w:rFonts w:asciiTheme="minorHAnsi" w:hAnsiTheme="minorHAnsi" w:cstheme="minorHAnsi"/>
          <w:b/>
          <w:bCs/>
          <w:highlight w:val="yellow"/>
        </w:rPr>
        <w:fldChar w:fldCharType="end"/>
      </w:r>
      <w:r w:rsidRPr="00FD4F8E">
        <w:rPr>
          <w:rFonts w:asciiTheme="minorHAnsi" w:hAnsiTheme="minorHAnsi" w:cstheme="minorHAnsi"/>
          <w:iCs/>
        </w:rPr>
        <w:t>.</w:t>
      </w:r>
    </w:p>
    <w:p w14:paraId="29AE5270" w14:textId="77777777" w:rsidR="00A31F1D" w:rsidRDefault="00A31F1D" w:rsidP="00A31F1D">
      <w:pPr>
        <w:rPr>
          <w:rFonts w:asciiTheme="minorHAnsi" w:hAnsiTheme="minorHAnsi" w:cstheme="minorHAnsi"/>
          <w:iCs/>
        </w:rPr>
      </w:pPr>
    </w:p>
    <w:p w14:paraId="48D310F7" w14:textId="77777777" w:rsidR="008E485B" w:rsidRPr="008E485B" w:rsidRDefault="008E485B" w:rsidP="008E485B">
      <w:pPr>
        <w:widowControl w:val="0"/>
        <w:rPr>
          <w:rFonts w:asciiTheme="minorHAnsi" w:hAnsiTheme="minorHAnsi" w:cstheme="minorHAnsi"/>
          <w:b/>
          <w:bCs/>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8E485B">
        <w:rPr>
          <w:rFonts w:asciiTheme="minorHAnsi" w:hAnsiTheme="minorHAnsi" w:cstheme="minorHAnsi"/>
          <w:b/>
          <w:bCs/>
          <w:highlight w:val="yellow"/>
        </w:rPr>
        <w:fldChar w:fldCharType="begin">
          <w:ffData>
            <w:name w:val=""/>
            <w:enabled/>
            <w:calcOnExit w:val="0"/>
            <w:textInput>
              <w:default w:val="[Beneficiary’s name and address]"/>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[Beneficiary’s name and address]</w:t>
      </w:r>
      <w:r w:rsidRPr="008E485B">
        <w:rPr>
          <w:rFonts w:asciiTheme="minorHAnsi" w:hAnsiTheme="minorHAnsi" w:cstheme="minorHAnsi"/>
          <w:b/>
          <w:bCs/>
          <w:highlight w:val="yellow"/>
        </w:rPr>
        <w:fldChar w:fldCharType="end"/>
      </w:r>
    </w:p>
    <w:p w14:paraId="643EB9C8" w14:textId="77777777" w:rsidR="008E485B" w:rsidRPr="00BC2579" w:rsidRDefault="008E485B" w:rsidP="008E485B">
      <w:pPr>
        <w:widowControl w:val="0"/>
        <w:rPr>
          <w:rFonts w:asciiTheme="minorHAnsi" w:hAnsiTheme="minorHAnsi" w:cstheme="minorHAnsi"/>
        </w:rPr>
      </w:pPr>
    </w:p>
    <w:p w14:paraId="556A16A1" w14:textId="77777777" w:rsidR="008E485B" w:rsidRPr="00BC2579" w:rsidRDefault="008E485B" w:rsidP="008E485B">
      <w:pPr>
        <w:widowControl w:val="0"/>
        <w:rPr>
          <w:rFonts w:asciiTheme="minorHAnsi" w:hAnsiTheme="minorHAnsi" w:cstheme="minorHAnsi"/>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t>By its authorized officer:</w:t>
      </w:r>
    </w:p>
    <w:p w14:paraId="61F30AAF" w14:textId="77777777" w:rsidR="008E485B" w:rsidRPr="00BC2579" w:rsidRDefault="008E485B" w:rsidP="008E485B">
      <w:pPr>
        <w:widowControl w:val="0"/>
        <w:rPr>
          <w:rFonts w:asciiTheme="minorHAnsi" w:hAnsiTheme="minorHAnsi" w:cstheme="minorHAnsi"/>
        </w:rPr>
      </w:pPr>
    </w:p>
    <w:p w14:paraId="43EDC081" w14:textId="77777777" w:rsidR="008E485B" w:rsidRPr="00BC2579" w:rsidRDefault="008E485B" w:rsidP="008E485B">
      <w:pPr>
        <w:widowControl w:val="0"/>
        <w:rPr>
          <w:rFonts w:asciiTheme="minorHAnsi" w:hAnsiTheme="minorHAnsi" w:cstheme="minorHAnsi"/>
        </w:rPr>
      </w:pPr>
    </w:p>
    <w:p w14:paraId="12FEE20B" w14:textId="77777777" w:rsidR="008E485B" w:rsidRPr="00BC2579" w:rsidRDefault="008E485B" w:rsidP="008E4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000000"/>
          <w:u w:val="single"/>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u w:val="single"/>
        </w:rPr>
        <w:t>____________________</w:t>
      </w:r>
    </w:p>
    <w:p w14:paraId="573276EB" w14:textId="77777777" w:rsidR="008E485B" w:rsidRPr="008E485B" w:rsidRDefault="008E485B" w:rsidP="008E48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color w:val="000000"/>
        </w:rPr>
      </w:pP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BC2579">
        <w:rPr>
          <w:rFonts w:asciiTheme="minorHAnsi" w:hAnsiTheme="minorHAnsi" w:cstheme="minorHAnsi"/>
          <w:color w:val="000000"/>
        </w:rPr>
        <w:tab/>
      </w:r>
      <w:r w:rsidRPr="008E485B">
        <w:rPr>
          <w:rFonts w:asciiTheme="minorHAnsi" w:hAnsiTheme="minorHAnsi" w:cstheme="minorHAnsi"/>
          <w:b/>
          <w:bCs/>
          <w:highlight w:val="yellow"/>
        </w:rPr>
        <w:fldChar w:fldCharType="begin">
          <w:ffData>
            <w:name w:val=""/>
            <w:enabled/>
            <w:calcOnExit w:val="0"/>
            <w:textInput>
              <w:default w:val="[Original Signature]"/>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[Original Signature]</w:t>
      </w:r>
      <w:r w:rsidRPr="008E485B">
        <w:rPr>
          <w:rFonts w:asciiTheme="minorHAnsi" w:hAnsiTheme="minorHAnsi" w:cstheme="minorHAnsi"/>
          <w:b/>
          <w:bCs/>
          <w:highlight w:val="yellow"/>
        </w:rPr>
        <w:fldChar w:fldCharType="end"/>
      </w:r>
    </w:p>
    <w:p w14:paraId="4608F4AE" w14:textId="77777777" w:rsidR="008E485B" w:rsidRPr="008E485B" w:rsidRDefault="008E485B" w:rsidP="008E485B">
      <w:pPr>
        <w:widowControl w:val="0"/>
        <w:rPr>
          <w:rFonts w:asciiTheme="minorHAnsi" w:hAnsiTheme="minorHAnsi" w:cstheme="minorHAnsi"/>
          <w:b/>
          <w:bCs/>
        </w:rPr>
      </w:pP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BC2579">
        <w:rPr>
          <w:rFonts w:asciiTheme="minorHAnsi" w:hAnsiTheme="minorHAnsi" w:cstheme="minorHAnsi"/>
        </w:rPr>
        <w:tab/>
      </w:r>
      <w:r w:rsidRPr="008E485B">
        <w:rPr>
          <w:rFonts w:asciiTheme="minorHAnsi" w:hAnsiTheme="minorHAnsi" w:cstheme="minorHAnsi"/>
          <w:b/>
          <w:bCs/>
          <w:highlight w:val="yellow"/>
        </w:rPr>
        <w:fldChar w:fldCharType="begin">
          <w:ffData>
            <w:name w:val=""/>
            <w:enabled/>
            <w:calcOnExit w:val="0"/>
            <w:textInput>
              <w:default w:val="[Name and Title]"/>
            </w:textInput>
          </w:ffData>
        </w:fldChar>
      </w:r>
      <w:r w:rsidRPr="008E485B">
        <w:rPr>
          <w:rFonts w:asciiTheme="minorHAnsi" w:hAnsiTheme="minorHAnsi" w:cstheme="minorHAnsi"/>
          <w:b/>
          <w:bCs/>
          <w:highlight w:val="yellow"/>
        </w:rPr>
        <w:instrText xml:space="preserve"> FORMTEXT </w:instrText>
      </w:r>
      <w:r w:rsidRPr="008E485B">
        <w:rPr>
          <w:rFonts w:asciiTheme="minorHAnsi" w:hAnsiTheme="minorHAnsi" w:cstheme="minorHAnsi"/>
          <w:b/>
          <w:bCs/>
          <w:highlight w:val="yellow"/>
        </w:rPr>
      </w:r>
      <w:r w:rsidRPr="008E485B">
        <w:rPr>
          <w:rFonts w:asciiTheme="minorHAnsi" w:hAnsiTheme="minorHAnsi" w:cstheme="minorHAnsi"/>
          <w:b/>
          <w:bCs/>
          <w:highlight w:val="yellow"/>
        </w:rPr>
        <w:fldChar w:fldCharType="separate"/>
      </w:r>
      <w:r w:rsidRPr="008E485B">
        <w:rPr>
          <w:rFonts w:asciiTheme="minorHAnsi" w:hAnsiTheme="minorHAnsi" w:cstheme="minorHAnsi"/>
          <w:b/>
          <w:bCs/>
          <w:noProof/>
          <w:highlight w:val="yellow"/>
        </w:rPr>
        <w:t>[Name and Title]</w:t>
      </w:r>
      <w:r w:rsidRPr="008E485B">
        <w:rPr>
          <w:rFonts w:asciiTheme="minorHAnsi" w:hAnsiTheme="minorHAnsi" w:cstheme="minorHAnsi"/>
          <w:b/>
          <w:bCs/>
          <w:highlight w:val="yellow"/>
        </w:rPr>
        <w:fldChar w:fldCharType="end"/>
      </w:r>
    </w:p>
    <w:p w14:paraId="0054AD06" w14:textId="77777777" w:rsidR="00A31F1D" w:rsidRPr="000C5102" w:rsidRDefault="00A31F1D" w:rsidP="00A31F1D">
      <w:pPr>
        <w:outlineLvl w:val="0"/>
        <w:rPr>
          <w:rFonts w:asciiTheme="minorHAnsi" w:hAnsiTheme="minorHAnsi" w:cstheme="minorHAnsi"/>
          <w:iCs/>
          <w:szCs w:val="24"/>
        </w:rPr>
      </w:pPr>
    </w:p>
    <w:p w14:paraId="4B7E5FEC" w14:textId="77777777" w:rsidR="00A31F1D" w:rsidRDefault="00A31F1D" w:rsidP="00A31F1D">
      <w:pPr>
        <w:outlineLvl w:val="0"/>
        <w:rPr>
          <w:rFonts w:asciiTheme="minorHAnsi" w:hAnsiTheme="minorHAnsi" w:cstheme="minorHAnsi"/>
          <w:szCs w:val="24"/>
        </w:rPr>
      </w:pPr>
    </w:p>
    <w:p w14:paraId="63BE826D" w14:textId="77777777" w:rsidR="00C40A37" w:rsidRPr="00A31F1D" w:rsidRDefault="00C40A37" w:rsidP="00A10985">
      <w:pPr>
        <w:outlineLvl w:val="0"/>
        <w:rPr>
          <w:rFonts w:asciiTheme="minorHAnsi" w:hAnsiTheme="minorHAnsi" w:cstheme="minorHAnsi"/>
          <w:szCs w:val="24"/>
        </w:rPr>
      </w:pPr>
    </w:p>
    <w:p w14:paraId="43BA8040" w14:textId="77777777" w:rsidR="00C40A37" w:rsidRDefault="00C40A37" w:rsidP="00A10985">
      <w:pPr>
        <w:outlineLvl w:val="0"/>
        <w:rPr>
          <w:rFonts w:asciiTheme="minorHAnsi" w:hAnsiTheme="minorHAnsi" w:cstheme="minorHAnsi"/>
          <w:szCs w:val="24"/>
        </w:rPr>
      </w:pPr>
    </w:p>
    <w:p w14:paraId="226DADBD" w14:textId="77777777" w:rsidR="00C40A37" w:rsidRDefault="00C40A37" w:rsidP="00A10985">
      <w:pPr>
        <w:outlineLvl w:val="0"/>
        <w:rPr>
          <w:rFonts w:asciiTheme="minorHAnsi" w:hAnsiTheme="minorHAnsi" w:cstheme="minorHAnsi"/>
          <w:szCs w:val="24"/>
        </w:rPr>
      </w:pPr>
    </w:p>
    <w:p w14:paraId="63B99FB5" w14:textId="64D6E074" w:rsidR="00A10985" w:rsidRPr="006A10A2" w:rsidRDefault="00A10985" w:rsidP="00A10985">
      <w:pPr>
        <w:outlineLvl w:val="0"/>
        <w:rPr>
          <w:rFonts w:asciiTheme="minorHAnsi" w:hAnsiTheme="minorHAnsi" w:cstheme="minorHAnsi"/>
          <w:szCs w:val="24"/>
        </w:rPr>
      </w:pPr>
      <w:r w:rsidRPr="006A10A2">
        <w:rPr>
          <w:rFonts w:asciiTheme="minorHAnsi" w:hAnsiTheme="minorHAnsi" w:cstheme="minorHAnsi"/>
          <w:szCs w:val="24"/>
        </w:rPr>
        <w:t xml:space="preserve">[Before </w:t>
      </w:r>
      <w:proofErr w:type="gramStart"/>
      <w:r w:rsidRPr="006A10A2">
        <w:rPr>
          <w:rFonts w:asciiTheme="minorHAnsi" w:hAnsiTheme="minorHAnsi" w:cstheme="minorHAnsi"/>
          <w:szCs w:val="24"/>
        </w:rPr>
        <w:t>a standby</w:t>
      </w:r>
      <w:proofErr w:type="gramEnd"/>
      <w:r w:rsidRPr="006A10A2">
        <w:rPr>
          <w:rFonts w:asciiTheme="minorHAnsi" w:hAnsiTheme="minorHAnsi" w:cstheme="minorHAnsi"/>
          <w:szCs w:val="24"/>
        </w:rPr>
        <w:t xml:space="preserve"> is issued, all text in </w:t>
      </w:r>
      <w:r w:rsidRPr="006A10A2">
        <w:rPr>
          <w:rFonts w:asciiTheme="minorHAnsi" w:hAnsiTheme="minorHAnsi" w:cstheme="minorHAnsi"/>
          <w:b/>
          <w:szCs w:val="24"/>
        </w:rPr>
        <w:t>[</w:t>
      </w:r>
      <w:r w:rsidRPr="009538A6">
        <w:rPr>
          <w:rFonts w:asciiTheme="minorHAnsi" w:hAnsiTheme="minorHAnsi" w:cstheme="minorHAnsi"/>
          <w:b/>
          <w:szCs w:val="24"/>
          <w:highlight w:val="yellow"/>
        </w:rPr>
        <w:t>bold</w:t>
      </w:r>
      <w:r w:rsidRPr="006A10A2">
        <w:rPr>
          <w:rFonts w:asciiTheme="minorHAnsi" w:hAnsiTheme="minorHAnsi" w:cstheme="minorHAnsi"/>
          <w:b/>
          <w:szCs w:val="24"/>
        </w:rPr>
        <w:t xml:space="preserve">] </w:t>
      </w:r>
      <w:r w:rsidRPr="006A10A2">
        <w:rPr>
          <w:rFonts w:asciiTheme="minorHAnsi" w:hAnsiTheme="minorHAnsi" w:cstheme="minorHAnsi"/>
          <w:szCs w:val="24"/>
        </w:rPr>
        <w:t>in any annex as well as in the body of the standby should be completed as indicated, and optional text in [</w:t>
      </w:r>
      <w:r w:rsidRPr="006A10A2">
        <w:rPr>
          <w:rFonts w:asciiTheme="minorHAnsi" w:hAnsiTheme="minorHAnsi" w:cstheme="minorHAnsi"/>
          <w:i/>
          <w:szCs w:val="24"/>
        </w:rPr>
        <w:t>italics</w:t>
      </w:r>
      <w:r w:rsidRPr="006A10A2">
        <w:rPr>
          <w:rFonts w:asciiTheme="minorHAnsi" w:hAnsiTheme="minorHAnsi" w:cstheme="minorHAnsi"/>
          <w:szCs w:val="24"/>
        </w:rPr>
        <w:t>] should be included or deleted (or redrafted). Text in [</w:t>
      </w:r>
      <w:r w:rsidRPr="006A10A2">
        <w:rPr>
          <w:rFonts w:asciiTheme="minorHAnsi" w:hAnsiTheme="minorHAnsi" w:cstheme="minorHAnsi"/>
          <w:szCs w:val="24"/>
          <w:u w:val="single"/>
        </w:rPr>
        <w:t>ALL CAPITALS UNDERLINED</w:t>
      </w:r>
      <w:r w:rsidRPr="006A10A2">
        <w:rPr>
          <w:rFonts w:asciiTheme="minorHAnsi" w:hAnsiTheme="minorHAnsi" w:cstheme="minorHAnsi"/>
          <w:szCs w:val="24"/>
        </w:rPr>
        <w:t>] should be completed as indicated when the beneficiary prepares a demand for presentation.]</w:t>
      </w:r>
    </w:p>
    <w:p w14:paraId="6330CD86" w14:textId="77777777" w:rsidR="00A10985" w:rsidRDefault="00A10985" w:rsidP="0025716F">
      <w:pPr>
        <w:widowControl w:val="0"/>
        <w:rPr>
          <w:rFonts w:asciiTheme="minorHAnsi" w:hAnsiTheme="minorHAnsi" w:cstheme="minorHAnsi"/>
          <w:i/>
        </w:rPr>
      </w:pPr>
    </w:p>
    <w:p w14:paraId="624987A9" w14:textId="77777777" w:rsidR="00A10985" w:rsidRPr="006A10A2" w:rsidRDefault="00A10985" w:rsidP="0025716F">
      <w:pPr>
        <w:widowControl w:val="0"/>
        <w:rPr>
          <w:rFonts w:asciiTheme="minorHAnsi" w:hAnsiTheme="minorHAnsi" w:cstheme="minorHAnsi"/>
          <w:i/>
        </w:rPr>
      </w:pPr>
    </w:p>
    <w:p w14:paraId="39E65382" w14:textId="77777777" w:rsidR="0025716F" w:rsidRPr="006A10A2" w:rsidRDefault="0025716F" w:rsidP="0025716F">
      <w:pPr>
        <w:spacing w:before="100" w:beforeAutospacing="1" w:after="100" w:afterAutospacing="1"/>
        <w:jc w:val="center"/>
        <w:rPr>
          <w:rFonts w:asciiTheme="minorHAnsi" w:hAnsiTheme="minorHAnsi" w:cstheme="minorHAnsi"/>
          <w:bCs/>
        </w:rPr>
      </w:pPr>
      <w:r w:rsidRPr="006A10A2">
        <w:rPr>
          <w:rFonts w:asciiTheme="minorHAnsi" w:hAnsiTheme="minorHAnsi" w:cstheme="minorHAnsi"/>
          <w:bCs/>
        </w:rPr>
        <w:t>****************************</w:t>
      </w:r>
    </w:p>
    <w:p w14:paraId="541E786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szCs w:val="24"/>
        </w:rPr>
      </w:pPr>
      <w:r w:rsidRPr="006A10A2">
        <w:rPr>
          <w:rFonts w:asciiTheme="minorHAnsi" w:hAnsiTheme="minorHAnsi" w:cstheme="minorHAnsi"/>
        </w:rPr>
        <w:t xml:space="preserve">* </w:t>
      </w:r>
      <w:r w:rsidRPr="006A10A2">
        <w:rPr>
          <w:rFonts w:asciiTheme="minorHAnsi" w:hAnsiTheme="minorHAnsi" w:cstheme="minorHAnsi"/>
          <w:bCs/>
          <w:szCs w:val="24"/>
        </w:rPr>
        <w:t xml:space="preserve">Copyright © 2014 by the Institute of International Banking Law &amp; Practice, Inc., </w:t>
      </w:r>
      <w:hyperlink r:id="rId7" w:tooltip="blocked::http://www.iiblp.org/" w:history="1">
        <w:r w:rsidRPr="006A10A2">
          <w:rPr>
            <w:rStyle w:val="Hyperlink"/>
            <w:rFonts w:asciiTheme="minorHAnsi" w:hAnsiTheme="minorHAnsi" w:cstheme="minorHAnsi"/>
            <w:bCs/>
            <w:szCs w:val="24"/>
          </w:rPr>
          <w:t>www.iiblp.org</w:t>
        </w:r>
      </w:hyperlink>
      <w:r w:rsidRPr="006A10A2">
        <w:rPr>
          <w:rFonts w:asciiTheme="minorHAnsi" w:hAnsiTheme="minorHAnsi" w:cstheme="minorHAnsi"/>
          <w:bCs/>
          <w:szCs w:val="24"/>
        </w:rPr>
        <w:t xml:space="preserve"> (“IIBLP”). Unlimited permission is hereby granted to copy and use this ISP98 form, including endnotes, for all purposes except publication for a charge to a purchaser or subscriber.</w:t>
      </w:r>
    </w:p>
    <w:p w14:paraId="2FFD9030"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szCs w:val="24"/>
        </w:rPr>
      </w:pPr>
    </w:p>
    <w:p w14:paraId="2D913E9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
          <w:bCs/>
          <w:szCs w:val="24"/>
        </w:rPr>
      </w:pPr>
      <w:r w:rsidRPr="006A10A2">
        <w:rPr>
          <w:rFonts w:asciiTheme="minorHAnsi" w:hAnsiTheme="minorHAnsi" w:cstheme="minorHAnsi"/>
          <w:b/>
          <w:bCs/>
          <w:szCs w:val="24"/>
        </w:rPr>
        <w:t>General Comments on ISP98 Form 11.1</w:t>
      </w:r>
    </w:p>
    <w:p w14:paraId="381A95FF"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bCs/>
          <w:szCs w:val="24"/>
        </w:rPr>
      </w:pPr>
    </w:p>
    <w:p w14:paraId="6EF9367E"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lastRenderedPageBreak/>
        <w:t>Many government agencies require or permit standby letters of credit to be issued in their favor to support a variety of underlying obligations. Many do so under statutes, regulations, contracts, or guidelines that indicate who may issue a standby in favor of the government and what the standby should provide, typically by requiring that the standby be substantially in the form of a standby text set out in the government's regulation or contract. The general comments and endnotes to this ISP98 Form 11.1 refer to such standbys as a "government standby" and to such sources of government standby requirements as a government “regulation” or "contract".</w:t>
      </w:r>
    </w:p>
    <w:p w14:paraId="69AC7E53"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19772E6A"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 xml:space="preserve">Government regulations and contracts typically require that </w:t>
      </w:r>
      <w:proofErr w:type="gramStart"/>
      <w:r w:rsidRPr="006A10A2">
        <w:rPr>
          <w:rFonts w:asciiTheme="minorHAnsi" w:hAnsiTheme="minorHAnsi" w:cstheme="minorHAnsi"/>
        </w:rPr>
        <w:t>a standby</w:t>
      </w:r>
      <w:proofErr w:type="gramEnd"/>
      <w:r w:rsidRPr="006A10A2">
        <w:rPr>
          <w:rFonts w:asciiTheme="minorHAnsi" w:hAnsiTheme="minorHAnsi" w:cstheme="minorHAnsi"/>
        </w:rPr>
        <w:t xml:space="preserve"> be either issued or confirmed by a bank acceptable to the government and include the required form of standby and confirmation. Confirmation is a parallel independent undertaking to honor. The IIBLP intends to develop a model government confirmation form based on the acceptability to the government beneficiary of the confirmer (rather than the acceptability of the standby issuer). The IIBLP also intends to develop a model text for use in </w:t>
      </w:r>
      <w:proofErr w:type="gramStart"/>
      <w:r w:rsidRPr="006A10A2">
        <w:rPr>
          <w:rFonts w:asciiTheme="minorHAnsi" w:hAnsiTheme="minorHAnsi" w:cstheme="minorHAnsi"/>
        </w:rPr>
        <w:t>a government</w:t>
      </w:r>
      <w:proofErr w:type="gramEnd"/>
      <w:r w:rsidRPr="006A10A2">
        <w:rPr>
          <w:rFonts w:asciiTheme="minorHAnsi" w:hAnsiTheme="minorHAnsi" w:cstheme="minorHAnsi"/>
        </w:rPr>
        <w:t xml:space="preserve"> regulation, contract, or cover letter to applicants providing for an acceptable standby or confirmation in favor of the government.</w:t>
      </w:r>
    </w:p>
    <w:p w14:paraId="0C3C6071"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034C90EB"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color w:val="FF0000"/>
        </w:rPr>
      </w:pPr>
      <w:r w:rsidRPr="006A10A2">
        <w:rPr>
          <w:rFonts w:asciiTheme="minorHAnsi" w:hAnsiTheme="minorHAnsi" w:cstheme="minorHAnsi"/>
        </w:rPr>
        <w:t xml:space="preserve">This ISP98 Form 11.1, including its extensive endnotes, is intended to help </w:t>
      </w:r>
      <w:proofErr w:type="gramStart"/>
      <w:r w:rsidRPr="006A10A2">
        <w:rPr>
          <w:rFonts w:asciiTheme="minorHAnsi" w:hAnsiTheme="minorHAnsi" w:cstheme="minorHAnsi"/>
        </w:rPr>
        <w:t>a government beneficiary</w:t>
      </w:r>
      <w:proofErr w:type="gramEnd"/>
      <w:r w:rsidRPr="006A10A2">
        <w:rPr>
          <w:rFonts w:asciiTheme="minorHAnsi" w:hAnsiTheme="minorHAnsi" w:cstheme="minorHAnsi"/>
        </w:rPr>
        <w:t xml:space="preserve"> develop new standby forms or improve and update existing forms and </w:t>
      </w:r>
      <w:proofErr w:type="gramStart"/>
      <w:r w:rsidRPr="006A10A2">
        <w:rPr>
          <w:rFonts w:asciiTheme="minorHAnsi" w:hAnsiTheme="minorHAnsi" w:cstheme="minorHAnsi"/>
        </w:rPr>
        <w:t>to incorporate</w:t>
      </w:r>
      <w:proofErr w:type="gramEnd"/>
      <w:r w:rsidRPr="006A10A2">
        <w:rPr>
          <w:rFonts w:asciiTheme="minorHAnsi" w:hAnsiTheme="minorHAnsi" w:cstheme="minorHAnsi"/>
        </w:rPr>
        <w:t xml:space="preserve"> those forms into regulations and underlying contracts. This form</w:t>
      </w:r>
      <w:r w:rsidRPr="006A10A2">
        <w:rPr>
          <w:rFonts w:asciiTheme="minorHAnsi" w:hAnsiTheme="minorHAnsi" w:cstheme="minorHAnsi"/>
          <w:color w:val="FF0000"/>
        </w:rPr>
        <w:t xml:space="preserve"> </w:t>
      </w:r>
      <w:r w:rsidRPr="006A10A2">
        <w:rPr>
          <w:rFonts w:asciiTheme="minorHAnsi" w:hAnsiTheme="minorHAnsi" w:cstheme="minorHAnsi"/>
        </w:rPr>
        <w:t xml:space="preserve">should promote clarity and efficiency for all concerned and be reasonably acceptable to applicants and issuers, as well as protect the interests of government beneficiaries. The endnotes explain the text of the form and provide alternative and additional standby wording. They also explain why some wording commonly found in </w:t>
      </w:r>
      <w:proofErr w:type="gramStart"/>
      <w:r w:rsidRPr="006A10A2">
        <w:rPr>
          <w:rFonts w:asciiTheme="minorHAnsi" w:hAnsiTheme="minorHAnsi" w:cstheme="minorHAnsi"/>
        </w:rPr>
        <w:t>standbys</w:t>
      </w:r>
      <w:proofErr w:type="gramEnd"/>
      <w:r w:rsidRPr="006A10A2">
        <w:rPr>
          <w:rFonts w:asciiTheme="minorHAnsi" w:hAnsiTheme="minorHAnsi" w:cstheme="minorHAnsi"/>
        </w:rPr>
        <w:t xml:space="preserve"> has been omitted as unnecessary or undesirable.</w:t>
      </w:r>
    </w:p>
    <w:p w14:paraId="2B602DE3" w14:textId="77777777" w:rsidR="0025716F" w:rsidRPr="006A10A2" w:rsidRDefault="0025716F" w:rsidP="0025716F">
      <w:pPr>
        <w:autoSpaceDE w:val="0"/>
        <w:autoSpaceDN w:val="0"/>
        <w:adjustRightInd w:val="0"/>
        <w:spacing w:before="100" w:after="100"/>
        <w:rPr>
          <w:rFonts w:asciiTheme="minorHAnsi" w:hAnsiTheme="minorHAnsi" w:cstheme="minorHAnsi"/>
          <w:szCs w:val="24"/>
        </w:rPr>
      </w:pPr>
      <w:r w:rsidRPr="006A10A2">
        <w:rPr>
          <w:rFonts w:asciiTheme="minorHAnsi" w:hAnsiTheme="minorHAnsi" w:cstheme="minorHAnsi"/>
          <w:szCs w:val="24"/>
        </w:rPr>
        <w:t xml:space="preserve">This form incorporates ISP98, the only practice rules developed specifically for standby letters of credit. ISP98 was produced by an Institute of International Banking Law and Practice ("IIBLP") working group, endorsed and published by the International Chamber of Commerce ("ICC") as ICC Publication No. 590, and also endorsed by the United Nations Commission on International Trade Law. See </w:t>
      </w:r>
      <w:hyperlink r:id="rId8" w:history="1">
        <w:r w:rsidRPr="006A10A2">
          <w:rPr>
            <w:rStyle w:val="Hyperlink"/>
            <w:rFonts w:asciiTheme="minorHAnsi" w:eastAsiaTheme="majorEastAsia" w:hAnsiTheme="minorHAnsi" w:cstheme="minorHAnsi"/>
            <w:szCs w:val="24"/>
          </w:rPr>
          <w:t>http://www.uncitral.org/pdf/english/texts_endorsed/ISP98_e.pdf</w:t>
        </w:r>
      </w:hyperlink>
      <w:r w:rsidRPr="006A10A2">
        <w:rPr>
          <w:rFonts w:asciiTheme="minorHAnsi" w:hAnsiTheme="minorHAnsi" w:cstheme="minorHAnsi"/>
          <w:szCs w:val="24"/>
        </w:rPr>
        <w:t xml:space="preserve">. This form is based on ISP98 Forms 1 (Model Standby Incorporating Annexed Form of Payment Demand with Statement) and 2 (Model Standby Providing for Extension and Incorporating Annexed Form of Payment Demand with Alternative Non-Extension Statement), the first two of many standby forms that are now freely available on the IIBLP website at </w:t>
      </w:r>
      <w:hyperlink r:id="rId9" w:history="1">
        <w:r w:rsidRPr="006A10A2">
          <w:rPr>
            <w:rStyle w:val="Hyperlink"/>
            <w:rFonts w:asciiTheme="minorHAnsi" w:hAnsiTheme="minorHAnsi" w:cstheme="minorHAnsi"/>
            <w:szCs w:val="24"/>
          </w:rPr>
          <w:t>http://www.iiblp.org</w:t>
        </w:r>
      </w:hyperlink>
      <w:r w:rsidRPr="006A10A2">
        <w:rPr>
          <w:rFonts w:asciiTheme="minorHAnsi" w:hAnsiTheme="minorHAnsi" w:cstheme="minorHAnsi"/>
          <w:szCs w:val="24"/>
        </w:rPr>
        <w:t xml:space="preserve"> under ISP Forms. This ISP98 Form 11.1 focuses on drafting issues that are of particular interest to government beneficiaries and to issuers and applicants for government standbys.</w:t>
      </w:r>
    </w:p>
    <w:p w14:paraId="23CD1EE2"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0F267E2D"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szCs w:val="24"/>
        </w:rPr>
        <w:t>This form</w:t>
      </w:r>
      <w:r w:rsidRPr="006A10A2">
        <w:rPr>
          <w:rFonts w:asciiTheme="minorHAnsi" w:hAnsiTheme="minorHAnsi" w:cstheme="minorHAnsi"/>
        </w:rPr>
        <w:t xml:space="preserve"> includes terms that ISP98 indicates should be included in a standby, and it restates other ISP98 rules for the avoidance of doubt, e.g., it recites that the standby is irrevocable and independent. It focuses on standbys that are issued from the United States and therefore governed by the applicable state version of the Uniform Commercial Code, Article 5–Letters of </w:t>
      </w:r>
      <w:r w:rsidRPr="006A10A2">
        <w:rPr>
          <w:rFonts w:asciiTheme="minorHAnsi" w:hAnsiTheme="minorHAnsi" w:cstheme="minorHAnsi"/>
        </w:rPr>
        <w:lastRenderedPageBreak/>
        <w:t>Credit ("UCC Article 5" or " UCC § 5-101" et seq)</w:t>
      </w:r>
      <w:r w:rsidRPr="006A10A2">
        <w:rPr>
          <w:rStyle w:val="EndnoteReference"/>
          <w:rFonts w:asciiTheme="minorHAnsi" w:hAnsiTheme="minorHAnsi" w:cstheme="minorHAnsi"/>
        </w:rPr>
        <w:endnoteReference w:id="38"/>
      </w:r>
      <w:r w:rsidRPr="006A10A2">
        <w:rPr>
          <w:rFonts w:asciiTheme="minorHAnsi" w:hAnsiTheme="minorHAnsi" w:cstheme="minorHAnsi"/>
        </w:rPr>
        <w:t xml:space="preserve"> and affected by applicable bank regulations such as the Office of the Comptroller of the Currency ("OCC") regulation 12 C.F.R. § 7.1016 (Independent undertakings to pay against documents).</w:t>
      </w:r>
      <w:r w:rsidRPr="006A10A2">
        <w:rPr>
          <w:rStyle w:val="EndnoteReference"/>
          <w:rFonts w:asciiTheme="minorHAnsi" w:hAnsiTheme="minorHAnsi" w:cstheme="minorHAnsi"/>
        </w:rPr>
        <w:endnoteReference w:id="39"/>
      </w:r>
      <w:r w:rsidRPr="006A10A2">
        <w:rPr>
          <w:rFonts w:asciiTheme="minorHAnsi" w:hAnsiTheme="minorHAnsi" w:cstheme="minorHAnsi"/>
        </w:rPr>
        <w:t xml:space="preserve"> See </w:t>
      </w:r>
      <w:r w:rsidRPr="006A10A2">
        <w:rPr>
          <w:rFonts w:asciiTheme="minorHAnsi" w:hAnsiTheme="minorHAnsi" w:cstheme="minorHAnsi"/>
          <w:i/>
        </w:rPr>
        <w:t>LC Rules &amp; Laws: Critical Texts</w:t>
      </w:r>
      <w:r w:rsidRPr="006A10A2">
        <w:rPr>
          <w:rFonts w:asciiTheme="minorHAnsi" w:hAnsiTheme="minorHAnsi" w:cstheme="minorHAnsi"/>
        </w:rPr>
        <w:t xml:space="preserve"> (IIBLP), which reproduces 12 C.F.R. § 7.1016, as well as UCC Article 5 and the Official Comments to it (with a listing of the dates of each state's enactment and of significant state variations) and ISP98 and certain ISP98 Forms.</w:t>
      </w:r>
    </w:p>
    <w:p w14:paraId="52C32F0E"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24F11A7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szCs w:val="24"/>
        </w:rPr>
      </w:pPr>
      <w:r w:rsidRPr="006A10A2">
        <w:rPr>
          <w:rFonts w:asciiTheme="minorHAnsi" w:hAnsiTheme="minorHAnsi" w:cstheme="minorHAnsi"/>
        </w:rPr>
        <w:t>This form</w:t>
      </w:r>
      <w:r w:rsidRPr="006A10A2">
        <w:rPr>
          <w:rFonts w:asciiTheme="minorHAnsi" w:hAnsiTheme="minorHAnsi" w:cstheme="minorHAnsi"/>
          <w:color w:val="FF0000"/>
        </w:rPr>
        <w:t xml:space="preserve"> </w:t>
      </w:r>
      <w:r w:rsidRPr="006A10A2">
        <w:rPr>
          <w:rFonts w:asciiTheme="minorHAnsi" w:hAnsiTheme="minorHAnsi" w:cstheme="minorHAnsi"/>
        </w:rPr>
        <w:t xml:space="preserve">is intended to be self-contained, and, absent special circumstances, useable without extended reference to the text of ISP98 or to other ISP98 Forms or their endnotes or to UCC Article 5. This form incorporates annexed forms of payment demand which provide maximum </w:t>
      </w:r>
      <w:r w:rsidRPr="006A10A2">
        <w:rPr>
          <w:rFonts w:asciiTheme="minorHAnsi" w:hAnsiTheme="minorHAnsi" w:cstheme="minorHAnsi"/>
          <w:szCs w:val="24"/>
        </w:rPr>
        <w:t>clarity as to what the beneficiary must present to the issuer in order to obtain payment under the standby. It assumes that a government beneficiary starting with this form as a model will redraft this form before approving it for general use and that its approved form will allow for some variation as well as insertion of details when a particular standby is issued.</w:t>
      </w:r>
    </w:p>
    <w:p w14:paraId="5090C355"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5CA282FF"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This form is intended to satisfy requirements in U.S. banking regulations as well as letter of credit law and practice as to what constitutes an "independent" undertaking. It also takes into account the OCC's safety and soundness considerations in 12 C.F.R. § 7.1016(b)(3) that an issuing bank "should possess operational expertise that is commensurate with the sophistication of its independent undertaking activities." In light of the differences in standby expertise among bank issuers and the likelihood that regulation of standbys will continue to evolve, this form has been developed to permit government agencies as beneficiaries to allow for standbys to be issued by credit-worthy banks that may lack the experienced operations' capabilities of the major bank letter of credit issuers.</w:t>
      </w:r>
    </w:p>
    <w:p w14:paraId="618858C9"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46C3034A"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Because many government standbys support underlying obligations that are expected to run for more than one year, this form</w:t>
      </w:r>
      <w:r w:rsidRPr="006A10A2">
        <w:rPr>
          <w:rFonts w:asciiTheme="minorHAnsi" w:hAnsiTheme="minorHAnsi" w:cstheme="minorHAnsi"/>
          <w:color w:val="FF0000"/>
        </w:rPr>
        <w:t xml:space="preserve"> </w:t>
      </w:r>
      <w:r w:rsidRPr="006A10A2">
        <w:rPr>
          <w:rFonts w:asciiTheme="minorHAnsi" w:hAnsiTheme="minorHAnsi" w:cstheme="minorHAnsi"/>
        </w:rPr>
        <w:t xml:space="preserve">includes standby text providing for automatic one-year extensions. The duration, as well as </w:t>
      </w:r>
      <w:proofErr w:type="gramStart"/>
      <w:r w:rsidRPr="006A10A2">
        <w:rPr>
          <w:rFonts w:asciiTheme="minorHAnsi" w:hAnsiTheme="minorHAnsi" w:cstheme="minorHAnsi"/>
        </w:rPr>
        <w:t>amount,</w:t>
      </w:r>
      <w:proofErr w:type="gramEnd"/>
      <w:r w:rsidRPr="006A10A2">
        <w:rPr>
          <w:rFonts w:asciiTheme="minorHAnsi" w:hAnsiTheme="minorHAnsi" w:cstheme="minorHAnsi"/>
        </w:rPr>
        <w:t xml:space="preserve"> of bank exposure under a standby providing for automatic extensions raises bank safety and soundness issues, and therefore the extent of operations' expertise required of any particular bank. Uncertainty as to the duration of a standby is one of several safety and soundness concerns with many existing government standby forms. Another such concern is with non-documentary conditions, which undercut the independence of a standby and introduce uncertainty in the interpretation of its requirements. See endnote 5 (Independence) on standby text recog</w:t>
      </w:r>
      <w:r w:rsidR="00105648" w:rsidRPr="006A10A2">
        <w:rPr>
          <w:rFonts w:asciiTheme="minorHAnsi" w:hAnsiTheme="minorHAnsi" w:cstheme="minorHAnsi"/>
        </w:rPr>
        <w:t>nizing, e.g., a beneficiary's "</w:t>
      </w:r>
      <w:r w:rsidRPr="006A10A2">
        <w:rPr>
          <w:rFonts w:asciiTheme="minorHAnsi" w:hAnsiTheme="minorHAnsi" w:cstheme="minorHAnsi"/>
        </w:rPr>
        <w:t>assigns" without specifying the documents to be presented to evidence the status of a claimed assignee.</w:t>
      </w:r>
    </w:p>
    <w:p w14:paraId="426219C8"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4883D6B6"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r w:rsidRPr="006A10A2">
        <w:rPr>
          <w:rFonts w:asciiTheme="minorHAnsi" w:hAnsiTheme="minorHAnsi" w:cstheme="minorHAnsi"/>
        </w:rPr>
        <w:t>Although this form is for use with ISP98 in the United States under UCC Article 5, it could be readily adapted for other uses, e.g., as a model ISP98 government standby or demand guarantee form for use in other countries. See endnote 24 (Incorporation of ISP98; optional choice of law and forum).</w:t>
      </w:r>
    </w:p>
    <w:p w14:paraId="04D0E1C8" w14:textId="77777777" w:rsidR="0025716F" w:rsidRPr="006A10A2"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theme="minorHAnsi"/>
        </w:rPr>
      </w:pPr>
    </w:p>
    <w:p w14:paraId="5C726B14" w14:textId="77777777" w:rsidR="0025716F" w:rsidRPr="006A10A2"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6A10A2">
        <w:rPr>
          <w:rFonts w:asciiTheme="minorHAnsi" w:hAnsiTheme="minorHAnsi" w:cstheme="minorHAnsi"/>
          <w:bCs/>
          <w:szCs w:val="24"/>
        </w:rPr>
        <w:lastRenderedPageBreak/>
        <w:t>This ISP98 Form 11.1</w:t>
      </w:r>
      <w:r w:rsidRPr="006A10A2">
        <w:rPr>
          <w:rFonts w:asciiTheme="minorHAnsi" w:hAnsiTheme="minorHAnsi" w:cstheme="minorHAnsi"/>
          <w:bCs/>
          <w:color w:val="FF0000"/>
          <w:szCs w:val="24"/>
        </w:rPr>
        <w:t xml:space="preserve"> </w:t>
      </w:r>
      <w:r w:rsidRPr="006A10A2">
        <w:rPr>
          <w:rFonts w:asciiTheme="minorHAnsi" w:hAnsiTheme="minorHAnsi" w:cstheme="minorHAnsi"/>
          <w:bCs/>
          <w:szCs w:val="24"/>
        </w:rPr>
        <w:t xml:space="preserve">is published for educational purposes and not as legal or professional advice. Potential users should consult with their own advisers in the drafting or use of a standby letter of credit. ISP98 and letter of credit educational and training materials, including </w:t>
      </w:r>
      <w:r w:rsidRPr="006A10A2">
        <w:rPr>
          <w:rFonts w:asciiTheme="minorHAnsi" w:hAnsiTheme="minorHAnsi" w:cstheme="minorHAnsi"/>
          <w:bCs/>
          <w:i/>
          <w:szCs w:val="24"/>
        </w:rPr>
        <w:t>The Official Commentary on the International Standby Practices</w:t>
      </w:r>
      <w:r w:rsidRPr="006A10A2">
        <w:rPr>
          <w:rFonts w:asciiTheme="minorHAnsi" w:hAnsiTheme="minorHAnsi" w:cstheme="minorHAnsi"/>
          <w:bCs/>
          <w:szCs w:val="24"/>
        </w:rPr>
        <w:t xml:space="preserve"> containing official interpretations of ISP98 and </w:t>
      </w:r>
      <w:r w:rsidRPr="006A10A2">
        <w:rPr>
          <w:rFonts w:asciiTheme="minorHAnsi" w:hAnsiTheme="minorHAnsi" w:cstheme="minorHAnsi"/>
          <w:bCs/>
          <w:i/>
          <w:szCs w:val="24"/>
        </w:rPr>
        <w:t>LC Rules &amp; Laws: C</w:t>
      </w:r>
      <w:r w:rsidR="00FE350F" w:rsidRPr="006A10A2">
        <w:rPr>
          <w:rFonts w:asciiTheme="minorHAnsi" w:hAnsiTheme="minorHAnsi" w:cstheme="minorHAnsi"/>
          <w:bCs/>
          <w:i/>
          <w:szCs w:val="24"/>
        </w:rPr>
        <w:t>ritical</w:t>
      </w:r>
      <w:r w:rsidRPr="006A10A2">
        <w:rPr>
          <w:rFonts w:asciiTheme="minorHAnsi" w:hAnsiTheme="minorHAnsi" w:cstheme="minorHAnsi"/>
          <w:bCs/>
          <w:i/>
          <w:szCs w:val="24"/>
        </w:rPr>
        <w:t xml:space="preserve"> Texts</w:t>
      </w:r>
      <w:r w:rsidRPr="006A10A2">
        <w:rPr>
          <w:rFonts w:asciiTheme="minorHAnsi" w:hAnsiTheme="minorHAnsi" w:cstheme="minorHAnsi"/>
          <w:bCs/>
          <w:szCs w:val="24"/>
        </w:rPr>
        <w:t xml:space="preserve">, are available from IIBLP at </w:t>
      </w:r>
      <w:hyperlink w:tooltip="blocked::http:///" w:history="1">
        <w:r w:rsidRPr="006A10A2">
          <w:rPr>
            <w:rStyle w:val="Hyperlink"/>
            <w:rFonts w:asciiTheme="minorHAnsi" w:hAnsiTheme="minorHAnsi" w:cstheme="minorHAnsi"/>
            <w:bCs/>
            <w:szCs w:val="24"/>
          </w:rPr>
          <w:t>www.iiblp.org</w:t>
        </w:r>
      </w:hyperlink>
      <w:r w:rsidRPr="006A10A2">
        <w:rPr>
          <w:rFonts w:asciiTheme="minorHAnsi" w:hAnsiTheme="minorHAnsi" w:cstheme="minorHAnsi"/>
          <w:bCs/>
          <w:szCs w:val="24"/>
        </w:rPr>
        <w:t>.</w:t>
      </w:r>
    </w:p>
    <w:p w14:paraId="2C82CBAA" w14:textId="77777777" w:rsidR="0025716F" w:rsidRPr="006A10A2"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sz w:val="20"/>
        </w:rPr>
      </w:pPr>
    </w:p>
    <w:p w14:paraId="30CBF3BA" w14:textId="77777777" w:rsidR="0025716F" w:rsidRPr="006A10A2"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heme="minorHAnsi" w:hAnsiTheme="minorHAnsi" w:cstheme="minorHAnsi"/>
        </w:rPr>
      </w:pPr>
      <w:r w:rsidRPr="006A10A2">
        <w:rPr>
          <w:rFonts w:asciiTheme="minorHAnsi" w:hAnsiTheme="minorHAnsi" w:cstheme="minorHAnsi"/>
          <w:sz w:val="20"/>
        </w:rPr>
        <w:t>[</w:t>
      </w:r>
      <w:r w:rsidRPr="006A10A2">
        <w:rPr>
          <w:rFonts w:asciiTheme="minorHAnsi" w:hAnsiTheme="minorHAnsi" w:cstheme="minorHAnsi"/>
          <w:i/>
          <w:sz w:val="20"/>
        </w:rPr>
        <w:t xml:space="preserve">IIBLP as of </w:t>
      </w:r>
      <w:r w:rsidR="007E3106" w:rsidRPr="006A10A2">
        <w:rPr>
          <w:rFonts w:asciiTheme="minorHAnsi" w:hAnsiTheme="minorHAnsi" w:cstheme="minorHAnsi"/>
          <w:i/>
          <w:sz w:val="20"/>
        </w:rPr>
        <w:t>5</w:t>
      </w:r>
      <w:r w:rsidRPr="006A10A2">
        <w:rPr>
          <w:rFonts w:asciiTheme="minorHAnsi" w:hAnsiTheme="minorHAnsi" w:cstheme="minorHAnsi"/>
          <w:i/>
          <w:sz w:val="20"/>
        </w:rPr>
        <w:t xml:space="preserve"> </w:t>
      </w:r>
      <w:r w:rsidR="007E3106" w:rsidRPr="006A10A2">
        <w:rPr>
          <w:rFonts w:asciiTheme="minorHAnsi" w:hAnsiTheme="minorHAnsi" w:cstheme="minorHAnsi"/>
          <w:i/>
          <w:sz w:val="20"/>
        </w:rPr>
        <w:t>Novemb</w:t>
      </w:r>
      <w:r w:rsidR="0076731D" w:rsidRPr="006A10A2">
        <w:rPr>
          <w:rFonts w:asciiTheme="minorHAnsi" w:hAnsiTheme="minorHAnsi" w:cstheme="minorHAnsi"/>
          <w:i/>
          <w:sz w:val="20"/>
        </w:rPr>
        <w:t>er</w:t>
      </w:r>
      <w:r w:rsidRPr="006A10A2">
        <w:rPr>
          <w:rFonts w:asciiTheme="minorHAnsi" w:hAnsiTheme="minorHAnsi" w:cstheme="minorHAnsi"/>
          <w:i/>
          <w:sz w:val="20"/>
        </w:rPr>
        <w:t xml:space="preserve"> 2014</w:t>
      </w:r>
      <w:r w:rsidRPr="006A10A2">
        <w:rPr>
          <w:rFonts w:asciiTheme="minorHAnsi" w:hAnsiTheme="minorHAnsi" w:cstheme="minorHAnsi"/>
          <w:sz w:val="20"/>
        </w:rPr>
        <w:t>]</w:t>
      </w:r>
    </w:p>
    <w:p w14:paraId="1B51FE8A" w14:textId="77777777" w:rsidR="0025716F" w:rsidRPr="006A10A2" w:rsidRDefault="0025716F">
      <w:pPr>
        <w:rPr>
          <w:rFonts w:asciiTheme="minorHAnsi" w:hAnsiTheme="minorHAnsi" w:cstheme="minorHAnsi"/>
        </w:rPr>
        <w:sectPr w:rsidR="0025716F" w:rsidRPr="006A10A2" w:rsidSect="008363D6">
          <w:headerReference w:type="even" r:id="rId10"/>
          <w:footerReference w:type="even" r:id="rId11"/>
          <w:footerReference w:type="default" r:id="rId12"/>
          <w:headerReference w:type="first" r:id="rId13"/>
          <w:footerReference w:type="first" r:id="rId14"/>
          <w:footnotePr>
            <w:numFmt w:val="lowerLetter"/>
          </w:footnotePr>
          <w:endnotePr>
            <w:numFmt w:val="decimal"/>
          </w:endnotePr>
          <w:pgSz w:w="12240" w:h="15840" w:code="1"/>
          <w:pgMar w:top="1440" w:right="1440" w:bottom="1440" w:left="1440" w:header="792" w:footer="1440" w:gutter="0"/>
          <w:cols w:space="720"/>
          <w:titlePg/>
          <w:docGrid w:linePitch="326"/>
        </w:sectPr>
      </w:pPr>
    </w:p>
    <w:p w14:paraId="339EB10D" w14:textId="77777777" w:rsidR="0025716F" w:rsidRPr="006A10A2" w:rsidRDefault="0025716F">
      <w:pPr>
        <w:rPr>
          <w:rFonts w:asciiTheme="minorHAnsi" w:hAnsiTheme="minorHAnsi" w:cstheme="minorHAnsi"/>
        </w:rPr>
      </w:pPr>
    </w:p>
    <w:p w14:paraId="69FB0D0C" w14:textId="77777777" w:rsidR="0025716F" w:rsidRPr="006A10A2" w:rsidRDefault="0025716F" w:rsidP="00105648">
      <w:pPr>
        <w:rPr>
          <w:rFonts w:asciiTheme="minorHAnsi" w:hAnsiTheme="minorHAnsi" w:cstheme="minorHAnsi"/>
          <w:b/>
        </w:rPr>
      </w:pPr>
      <w:r w:rsidRPr="006A10A2">
        <w:rPr>
          <w:rFonts w:asciiTheme="minorHAnsi" w:hAnsiTheme="minorHAnsi" w:cstheme="minorHAnsi"/>
          <w:b/>
        </w:rPr>
        <w:t>Table of Endnotes</w:t>
      </w:r>
    </w:p>
    <w:p w14:paraId="5F307095" w14:textId="77777777" w:rsidR="0025716F" w:rsidRPr="006A10A2" w:rsidRDefault="0025716F">
      <w:pPr>
        <w:rPr>
          <w:rFonts w:asciiTheme="minorHAnsi" w:hAnsiTheme="minorHAnsi" w:cstheme="minorHAnsi"/>
        </w:rPr>
      </w:pPr>
    </w:p>
    <w:p w14:paraId="605BDB32" w14:textId="77777777" w:rsidR="0025716F" w:rsidRPr="006A10A2" w:rsidRDefault="0025716F">
      <w:pPr>
        <w:rPr>
          <w:rFonts w:asciiTheme="minorHAnsi" w:hAnsiTheme="minorHAnsi" w:cstheme="minorHAnsi"/>
        </w:rPr>
        <w:sectPr w:rsidR="0025716F" w:rsidRPr="006A10A2" w:rsidSect="008363D6">
          <w:footnotePr>
            <w:numFmt w:val="lowerLetter"/>
          </w:footnotePr>
          <w:endnotePr>
            <w:numFmt w:val="decimal"/>
          </w:endnotePr>
          <w:type w:val="continuous"/>
          <w:pgSz w:w="12240" w:h="15840" w:code="1"/>
          <w:pgMar w:top="1440" w:right="1440" w:bottom="1440" w:left="1440" w:header="792" w:footer="1440" w:gutter="0"/>
          <w:cols w:space="720"/>
          <w:titlePg/>
          <w:docGrid w:linePitch="326"/>
        </w:sectPr>
      </w:pPr>
    </w:p>
    <w:p w14:paraId="3EF4E98D"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1.  </w:t>
      </w:r>
      <w:r w:rsidR="00B83BBE" w:rsidRPr="006A10A2">
        <w:rPr>
          <w:rFonts w:asciiTheme="minorHAnsi" w:hAnsiTheme="minorHAnsi" w:cstheme="minorHAnsi"/>
        </w:rPr>
        <w:t xml:space="preserve"> </w:t>
      </w:r>
      <w:r w:rsidRPr="006A10A2">
        <w:rPr>
          <w:rFonts w:asciiTheme="minorHAnsi" w:hAnsiTheme="minorHAnsi" w:cstheme="minorHAnsi"/>
        </w:rPr>
        <w:t>Name and address of beneficiary</w:t>
      </w:r>
    </w:p>
    <w:p w14:paraId="54B09EA3"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2. </w:t>
      </w:r>
      <w:r w:rsidR="00281129" w:rsidRPr="006A10A2">
        <w:rPr>
          <w:rFonts w:asciiTheme="minorHAnsi" w:hAnsiTheme="minorHAnsi" w:cstheme="minorHAnsi"/>
        </w:rPr>
        <w:t xml:space="preserve"> </w:t>
      </w:r>
      <w:r w:rsidR="00B83BBE" w:rsidRPr="006A10A2">
        <w:rPr>
          <w:rFonts w:asciiTheme="minorHAnsi" w:hAnsiTheme="minorHAnsi" w:cstheme="minorHAnsi"/>
        </w:rPr>
        <w:t xml:space="preserve"> </w:t>
      </w:r>
      <w:r w:rsidRPr="006A10A2">
        <w:rPr>
          <w:rFonts w:asciiTheme="minorHAnsi" w:hAnsiTheme="minorHAnsi" w:cstheme="minorHAnsi"/>
        </w:rPr>
        <w:t>Applicant</w:t>
      </w:r>
    </w:p>
    <w:p w14:paraId="16C2B9F2"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3. </w:t>
      </w:r>
      <w:r w:rsidR="00B83BBE" w:rsidRPr="006A10A2">
        <w:rPr>
          <w:rFonts w:asciiTheme="minorHAnsi" w:hAnsiTheme="minorHAnsi" w:cstheme="minorHAnsi"/>
        </w:rPr>
        <w:t xml:space="preserve"> </w:t>
      </w:r>
      <w:r w:rsidR="00281129" w:rsidRPr="006A10A2">
        <w:rPr>
          <w:rFonts w:asciiTheme="minorHAnsi" w:hAnsiTheme="minorHAnsi" w:cstheme="minorHAnsi"/>
        </w:rPr>
        <w:t xml:space="preserve"> </w:t>
      </w:r>
      <w:r w:rsidRPr="006A10A2">
        <w:rPr>
          <w:rFonts w:asciiTheme="minorHAnsi" w:hAnsiTheme="minorHAnsi" w:cstheme="minorHAnsi"/>
        </w:rPr>
        <w:t>Date and place of issuance</w:t>
      </w:r>
    </w:p>
    <w:p w14:paraId="47642D83"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4. </w:t>
      </w:r>
      <w:r w:rsidR="00281129" w:rsidRPr="006A10A2">
        <w:rPr>
          <w:rFonts w:asciiTheme="minorHAnsi" w:hAnsiTheme="minorHAnsi" w:cstheme="minorHAnsi"/>
        </w:rPr>
        <w:t xml:space="preserve"> </w:t>
      </w:r>
      <w:r w:rsidR="00B83BBE" w:rsidRPr="006A10A2">
        <w:rPr>
          <w:rFonts w:asciiTheme="minorHAnsi" w:hAnsiTheme="minorHAnsi" w:cstheme="minorHAnsi"/>
        </w:rPr>
        <w:t xml:space="preserve"> </w:t>
      </w:r>
      <w:r w:rsidRPr="006A10A2">
        <w:rPr>
          <w:rFonts w:asciiTheme="minorHAnsi" w:hAnsiTheme="minorHAnsi" w:cstheme="minorHAnsi"/>
        </w:rPr>
        <w:t>Irrevocability</w:t>
      </w:r>
    </w:p>
    <w:p w14:paraId="6932E80F"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5. </w:t>
      </w:r>
      <w:r w:rsidR="00281129" w:rsidRPr="006A10A2">
        <w:rPr>
          <w:rFonts w:asciiTheme="minorHAnsi" w:hAnsiTheme="minorHAnsi" w:cstheme="minorHAnsi"/>
        </w:rPr>
        <w:t xml:space="preserve"> </w:t>
      </w:r>
      <w:r w:rsidR="00B83BBE" w:rsidRPr="006A10A2">
        <w:rPr>
          <w:rFonts w:asciiTheme="minorHAnsi" w:hAnsiTheme="minorHAnsi" w:cstheme="minorHAnsi"/>
        </w:rPr>
        <w:t xml:space="preserve"> </w:t>
      </w:r>
      <w:r w:rsidRPr="006A10A2">
        <w:rPr>
          <w:rFonts w:asciiTheme="minorHAnsi" w:hAnsiTheme="minorHAnsi" w:cstheme="minorHAnsi"/>
        </w:rPr>
        <w:t>Independence</w:t>
      </w:r>
    </w:p>
    <w:p w14:paraId="60FD6FBF"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6. </w:t>
      </w:r>
      <w:r w:rsidR="00B83BBE" w:rsidRPr="006A10A2">
        <w:rPr>
          <w:rFonts w:asciiTheme="minorHAnsi" w:hAnsiTheme="minorHAnsi" w:cstheme="minorHAnsi"/>
        </w:rPr>
        <w:t xml:space="preserve"> </w:t>
      </w:r>
      <w:r w:rsidR="00281129" w:rsidRPr="006A10A2">
        <w:rPr>
          <w:rFonts w:asciiTheme="minorHAnsi" w:hAnsiTheme="minorHAnsi" w:cstheme="minorHAnsi"/>
        </w:rPr>
        <w:t xml:space="preserve"> </w:t>
      </w:r>
      <w:r w:rsidRPr="006A10A2">
        <w:rPr>
          <w:rFonts w:asciiTheme="minorHAnsi" w:hAnsiTheme="minorHAnsi" w:cstheme="minorHAnsi"/>
        </w:rPr>
        <w:t>Nomination</w:t>
      </w:r>
    </w:p>
    <w:p w14:paraId="75B4EC98"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7.</w:t>
      </w:r>
      <w:r w:rsidR="00B83BBE" w:rsidRPr="006A10A2">
        <w:rPr>
          <w:rFonts w:asciiTheme="minorHAnsi" w:hAnsiTheme="minorHAnsi" w:cstheme="minorHAnsi"/>
        </w:rPr>
        <w:t xml:space="preserve"> </w:t>
      </w:r>
      <w:r w:rsidR="00281129" w:rsidRPr="006A10A2">
        <w:rPr>
          <w:rFonts w:asciiTheme="minorHAnsi" w:hAnsiTheme="minorHAnsi" w:cstheme="minorHAnsi"/>
        </w:rPr>
        <w:t xml:space="preserve"> </w:t>
      </w:r>
      <w:r w:rsidRPr="006A10A2">
        <w:rPr>
          <w:rFonts w:asciiTheme="minorHAnsi" w:hAnsiTheme="minorHAnsi" w:cstheme="minorHAnsi"/>
        </w:rPr>
        <w:t xml:space="preserve"> Amount available </w:t>
      </w:r>
    </w:p>
    <w:p w14:paraId="38E566E0"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8. </w:t>
      </w:r>
      <w:r w:rsidR="00B83BBE" w:rsidRPr="006A10A2">
        <w:rPr>
          <w:rFonts w:asciiTheme="minorHAnsi" w:hAnsiTheme="minorHAnsi" w:cstheme="minorHAnsi"/>
        </w:rPr>
        <w:t xml:space="preserve"> </w:t>
      </w:r>
      <w:r w:rsidR="00281129" w:rsidRPr="006A10A2">
        <w:rPr>
          <w:rFonts w:asciiTheme="minorHAnsi" w:hAnsiTheme="minorHAnsi" w:cstheme="minorHAnsi"/>
        </w:rPr>
        <w:t xml:space="preserve"> </w:t>
      </w:r>
      <w:r w:rsidRPr="006A10A2">
        <w:rPr>
          <w:rFonts w:asciiTheme="minorHAnsi" w:hAnsiTheme="minorHAnsi" w:cstheme="minorHAnsi"/>
        </w:rPr>
        <w:t>Annexed form of payment demand</w:t>
      </w:r>
    </w:p>
    <w:p w14:paraId="53A86954" w14:textId="77777777" w:rsidR="0025716F" w:rsidRPr="006A10A2" w:rsidRDefault="0025716F" w:rsidP="00281129">
      <w:pPr>
        <w:tabs>
          <w:tab w:val="left" w:pos="360"/>
        </w:tabs>
        <w:ind w:left="360" w:hanging="360"/>
        <w:rPr>
          <w:rFonts w:asciiTheme="minorHAnsi" w:hAnsiTheme="minorHAnsi" w:cstheme="minorHAnsi"/>
        </w:rPr>
      </w:pPr>
      <w:r w:rsidRPr="006A10A2">
        <w:rPr>
          <w:rFonts w:asciiTheme="minorHAnsi" w:hAnsiTheme="minorHAnsi" w:cstheme="minorHAnsi"/>
        </w:rPr>
        <w:t xml:space="preserve">9. </w:t>
      </w:r>
      <w:r w:rsidR="00281129" w:rsidRPr="006A10A2">
        <w:rPr>
          <w:rFonts w:asciiTheme="minorHAnsi" w:hAnsiTheme="minorHAnsi" w:cstheme="minorHAnsi"/>
        </w:rPr>
        <w:t xml:space="preserve"> </w:t>
      </w:r>
      <w:r w:rsidR="00B83BBE" w:rsidRPr="006A10A2">
        <w:rPr>
          <w:rFonts w:asciiTheme="minorHAnsi" w:hAnsiTheme="minorHAnsi" w:cstheme="minorHAnsi"/>
        </w:rPr>
        <w:t xml:space="preserve"> </w:t>
      </w:r>
      <w:r w:rsidRPr="006A10A2">
        <w:rPr>
          <w:rFonts w:asciiTheme="minorHAnsi" w:hAnsiTheme="minorHAnsi" w:cstheme="minorHAnsi"/>
        </w:rPr>
        <w:t>Annex</w:t>
      </w:r>
      <w:r w:rsidR="00B83BBE" w:rsidRPr="006A10A2">
        <w:rPr>
          <w:rFonts w:asciiTheme="minorHAnsi" w:hAnsiTheme="minorHAnsi" w:cstheme="minorHAnsi"/>
        </w:rPr>
        <w:t xml:space="preserve">ed form or payment demand after </w:t>
      </w:r>
      <w:r w:rsidRPr="006A10A2">
        <w:rPr>
          <w:rFonts w:asciiTheme="minorHAnsi" w:hAnsiTheme="minorHAnsi" w:cstheme="minorHAnsi"/>
        </w:rPr>
        <w:t>notice of non-extension</w:t>
      </w:r>
    </w:p>
    <w:p w14:paraId="7EDDA011"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10. Annexes to be completed as indicated</w:t>
      </w:r>
    </w:p>
    <w:p w14:paraId="1752A33D"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11. Manner of presentation</w:t>
      </w:r>
    </w:p>
    <w:p w14:paraId="584D26C3"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12. Place of presentation</w:t>
      </w:r>
    </w:p>
    <w:p w14:paraId="22D4EB3F"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13. Presentation during business hours</w:t>
      </w:r>
    </w:p>
    <w:p w14:paraId="5D5192A5"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14. Presentation of the original standby not required</w:t>
      </w:r>
    </w:p>
    <w:p w14:paraId="1D73BE14"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15. Overdrawing</w:t>
      </w:r>
    </w:p>
    <w:p w14:paraId="7C4FBB96"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16. Expiration</w:t>
      </w:r>
    </w:p>
    <w:p w14:paraId="19DC5DC9"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17. Automatic extension</w:t>
      </w:r>
    </w:p>
    <w:p w14:paraId="360697E6"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18. One year; 30 days</w:t>
      </w:r>
    </w:p>
    <w:p w14:paraId="35FE2F04"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19. Retraction of non-extension notice</w:t>
      </w:r>
    </w:p>
    <w:p w14:paraId="735E8BD6"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20. Send or receive</w:t>
      </w:r>
    </w:p>
    <w:p w14:paraId="0D27735A"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 xml:space="preserve">21. </w:t>
      </w:r>
      <w:proofErr w:type="gramStart"/>
      <w:r w:rsidRPr="006A10A2">
        <w:rPr>
          <w:rFonts w:asciiTheme="minorHAnsi" w:hAnsiTheme="minorHAnsi" w:cstheme="minorHAnsi"/>
        </w:rPr>
        <w:t>Final expiration</w:t>
      </w:r>
      <w:proofErr w:type="gramEnd"/>
      <w:r w:rsidRPr="006A10A2">
        <w:rPr>
          <w:rFonts w:asciiTheme="minorHAnsi" w:hAnsiTheme="minorHAnsi" w:cstheme="minorHAnsi"/>
        </w:rPr>
        <w:t xml:space="preserve"> date</w:t>
      </w:r>
    </w:p>
    <w:p w14:paraId="3D80F8AC"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22. Three days to examine and pay a presentation</w:t>
      </w:r>
    </w:p>
    <w:p w14:paraId="17D0A213"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23.</w:t>
      </w:r>
      <w:r w:rsidR="007E3106" w:rsidRPr="006A10A2">
        <w:rPr>
          <w:rFonts w:asciiTheme="minorHAnsi" w:hAnsiTheme="minorHAnsi" w:cstheme="minorHAnsi"/>
        </w:rPr>
        <w:t xml:space="preserve"> Place and method of payment</w:t>
      </w:r>
    </w:p>
    <w:p w14:paraId="39E6603C" w14:textId="77777777" w:rsidR="0025716F" w:rsidRPr="006A10A2" w:rsidRDefault="0025716F" w:rsidP="00B83BBE">
      <w:pPr>
        <w:ind w:left="360" w:hanging="360"/>
        <w:rPr>
          <w:rFonts w:asciiTheme="minorHAnsi" w:hAnsiTheme="minorHAnsi" w:cstheme="minorHAnsi"/>
        </w:rPr>
      </w:pPr>
      <w:r w:rsidRPr="006A10A2">
        <w:rPr>
          <w:rFonts w:asciiTheme="minorHAnsi" w:hAnsiTheme="minorHAnsi" w:cstheme="minorHAnsi"/>
        </w:rPr>
        <w:t>24. Incorporation of ISP98; optional choice of law and forum</w:t>
      </w:r>
    </w:p>
    <w:p w14:paraId="5606B384"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25. Charges and fees for issuance, advice, and confirmation</w:t>
      </w:r>
    </w:p>
    <w:p w14:paraId="5A21A100"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26. Communications</w:t>
      </w:r>
    </w:p>
    <w:p w14:paraId="572A52DE"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27.</w:t>
      </w:r>
      <w:r w:rsidR="007E3106" w:rsidRPr="006A10A2">
        <w:rPr>
          <w:rFonts w:asciiTheme="minorHAnsi" w:hAnsiTheme="minorHAnsi" w:cstheme="minorHAnsi"/>
        </w:rPr>
        <w:t xml:space="preserve"> Demand issuance date</w:t>
      </w:r>
    </w:p>
    <w:p w14:paraId="0DB9EEA3"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28. Information to be inserted in annexed demand form before standby is issued</w:t>
      </w:r>
    </w:p>
    <w:p w14:paraId="31048A7A"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29. Beneficiary statements</w:t>
      </w:r>
    </w:p>
    <w:p w14:paraId="16414B0E"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30. “Applicant” as underlying obligor</w:t>
      </w:r>
    </w:p>
    <w:p w14:paraId="61E91EAB"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31. Obligated/default</w:t>
      </w:r>
    </w:p>
    <w:p w14:paraId="474A6402"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32. Identification of underlying obligations; use of proceeds</w:t>
      </w:r>
    </w:p>
    <w:p w14:paraId="0BEB6B0F" w14:textId="77777777" w:rsidR="0025716F" w:rsidRPr="006A10A2" w:rsidRDefault="0025716F" w:rsidP="00DE6500">
      <w:pPr>
        <w:ind w:left="360" w:hanging="360"/>
        <w:rPr>
          <w:rFonts w:asciiTheme="minorHAnsi" w:hAnsiTheme="minorHAnsi" w:cstheme="minorHAnsi"/>
        </w:rPr>
      </w:pPr>
      <w:r w:rsidRPr="006A10A2">
        <w:rPr>
          <w:rFonts w:asciiTheme="minorHAnsi" w:hAnsiTheme="minorHAnsi" w:cstheme="minorHAnsi"/>
        </w:rPr>
        <w:t>33. Request for wire transfer to beneficiary’s account</w:t>
      </w:r>
    </w:p>
    <w:p w14:paraId="6176D91E"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34. Signer authentication</w:t>
      </w:r>
    </w:p>
    <w:p w14:paraId="2774365B"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35. Original signature</w:t>
      </w:r>
    </w:p>
    <w:p w14:paraId="30560E76"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36. Annex B endnotes</w:t>
      </w:r>
    </w:p>
    <w:p w14:paraId="707590B1"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37. Retraction or replacement standby</w:t>
      </w:r>
    </w:p>
    <w:p w14:paraId="693CCF9C"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38. References to UCC Article 5</w:t>
      </w:r>
    </w:p>
    <w:p w14:paraId="5CF57082" w14:textId="77777777" w:rsidR="0025716F" w:rsidRPr="006A10A2" w:rsidRDefault="0025716F" w:rsidP="0025716F">
      <w:pPr>
        <w:rPr>
          <w:rFonts w:asciiTheme="minorHAnsi" w:hAnsiTheme="minorHAnsi" w:cstheme="minorHAnsi"/>
        </w:rPr>
      </w:pPr>
      <w:r w:rsidRPr="006A10A2">
        <w:rPr>
          <w:rFonts w:asciiTheme="minorHAnsi" w:hAnsiTheme="minorHAnsi" w:cstheme="minorHAnsi"/>
        </w:rPr>
        <w:t>39. Banking regulations</w:t>
      </w:r>
    </w:p>
    <w:p w14:paraId="4EEA0717" w14:textId="77777777" w:rsidR="0025716F" w:rsidRPr="006A10A2" w:rsidRDefault="0025716F" w:rsidP="0025716F">
      <w:pPr>
        <w:rPr>
          <w:rFonts w:asciiTheme="minorHAnsi" w:hAnsiTheme="minorHAnsi" w:cstheme="minorHAnsi"/>
        </w:rPr>
        <w:sectPr w:rsidR="0025716F" w:rsidRPr="006A10A2" w:rsidSect="008363D6">
          <w:type w:val="continuous"/>
          <w:pgSz w:w="12240" w:h="15840"/>
          <w:pgMar w:top="1440" w:right="1440" w:bottom="1440" w:left="1440" w:header="720" w:footer="720" w:gutter="0"/>
          <w:cols w:num="2" w:space="720"/>
          <w:docGrid w:linePitch="360"/>
        </w:sectPr>
      </w:pPr>
    </w:p>
    <w:p w14:paraId="031ECB5C" w14:textId="77777777" w:rsidR="0025716F" w:rsidRPr="006A10A2" w:rsidRDefault="0025716F">
      <w:pPr>
        <w:rPr>
          <w:rFonts w:asciiTheme="minorHAnsi" w:hAnsiTheme="minorHAnsi" w:cstheme="minorHAnsi"/>
        </w:rPr>
      </w:pPr>
    </w:p>
    <w:sectPr w:rsidR="0025716F" w:rsidRPr="006A10A2" w:rsidSect="008363D6">
      <w:footnotePr>
        <w:numFmt w:val="lowerLetter"/>
      </w:footnotePr>
      <w:endnotePr>
        <w:numFmt w:val="decimal"/>
      </w:endnotePr>
      <w:type w:val="continuous"/>
      <w:pgSz w:w="12240" w:h="15840" w:code="1"/>
      <w:pgMar w:top="1440" w:right="1440" w:bottom="1440" w:left="1440" w:header="792"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72C2" w14:textId="77777777" w:rsidR="00BF517D" w:rsidRDefault="00BF517D" w:rsidP="0025716F">
      <w:r>
        <w:separator/>
      </w:r>
    </w:p>
  </w:endnote>
  <w:endnote w:type="continuationSeparator" w:id="0">
    <w:p w14:paraId="5BB79AFD" w14:textId="77777777" w:rsidR="00BF517D" w:rsidRDefault="00BF517D" w:rsidP="0025716F">
      <w:r>
        <w:continuationSeparator/>
      </w:r>
    </w:p>
  </w:endnote>
  <w:endnote w:id="1">
    <w:p w14:paraId="578514B2" w14:textId="77777777" w:rsidR="00E63A03" w:rsidRDefault="00E63A03" w:rsidP="00E63A03">
      <w:pPr>
        <w:pStyle w:val="EndnoteText"/>
      </w:pPr>
    </w:p>
    <w:p w14:paraId="2777DCA3" w14:textId="77777777" w:rsidR="00E63A03" w:rsidRDefault="00E63A03" w:rsidP="00E63A03">
      <w:pPr>
        <w:pStyle w:val="EndnoteText"/>
      </w:pPr>
      <w:r>
        <w:rPr>
          <w:rStyle w:val="EndnoteReference"/>
        </w:rPr>
        <w:endnoteRef/>
      </w:r>
      <w:r>
        <w:t xml:space="preserve">  </w:t>
      </w:r>
      <w:r>
        <w:rPr>
          <w:u w:val="single"/>
        </w:rPr>
        <w:t>Name and address of beneficiary.</w:t>
      </w:r>
      <w:r>
        <w:t xml:space="preserve"> This ISP98 Form 11.1 assumes that the beneficiary will be a government entity using its legal name. The beneficiary's address should include a street address and the name or title of the person or department to whose attention the standby is directed (attention party). These details will facilitate written communications to be made through a courier as well as mail. A post office box number or other artificial address will not suffice. See </w:t>
      </w:r>
      <w:r w:rsidRPr="00364DF7">
        <w:t>endnotes 20 (Send</w:t>
      </w:r>
      <w:r>
        <w:t xml:space="preserve"> or </w:t>
      </w:r>
      <w:r w:rsidRPr="00364DF7">
        <w:t>receive) and 26 (Communications).</w:t>
      </w:r>
    </w:p>
    <w:p w14:paraId="3C58293D" w14:textId="77777777" w:rsidR="00E63A03" w:rsidRDefault="00E63A03" w:rsidP="00E63A03">
      <w:pPr>
        <w:pStyle w:val="EndnoteText"/>
      </w:pPr>
    </w:p>
    <w:p w14:paraId="1D32E2B4" w14:textId="77777777" w:rsidR="00E63A03" w:rsidRDefault="00E63A03" w:rsidP="00E63A03">
      <w:pPr>
        <w:rPr>
          <w:szCs w:val="24"/>
        </w:rPr>
      </w:pPr>
      <w:r>
        <w:rPr>
          <w:szCs w:val="24"/>
        </w:rPr>
        <w:t>Naming more than one beneficiary is unusual (except where the beneficiaries are joint obligees of the applicant) and requires beneficiary, applicant, and issuer attention to the allocation of beneficiary rights to draw, to consent to amendment or cancellation of the standby, and to request acknowledgement of a requested transfer or assignment of proceeds.</w:t>
      </w:r>
    </w:p>
    <w:p w14:paraId="442FC930" w14:textId="77777777" w:rsidR="00E63A03" w:rsidRDefault="00E63A03" w:rsidP="00E63A03">
      <w:pPr>
        <w:pStyle w:val="EndnoteText"/>
        <w:rPr>
          <w:szCs w:val="24"/>
        </w:rPr>
      </w:pPr>
    </w:p>
    <w:p w14:paraId="7846204F" w14:textId="77777777" w:rsidR="00E63A03" w:rsidRDefault="00E63A03" w:rsidP="00E63A03">
      <w:pPr>
        <w:pStyle w:val="EndnoteText"/>
      </w:pPr>
      <w:r>
        <w:t xml:space="preserve">If a government beneficiary undergoes a name change, with or without reorganization, then UCC § 5-113 (Transfer by Operation of Law) entitles the legal successor to draw either in its own name or in the name of the predecessor government beneficiary. ISP98 Rules 6.11—6.14 (Transfer by Operation of Law) facilitate both types of drawing. </w:t>
      </w:r>
    </w:p>
    <w:p w14:paraId="355269CA" w14:textId="77777777" w:rsidR="00E63A03" w:rsidRDefault="00E63A03" w:rsidP="00E63A03">
      <w:pPr>
        <w:pStyle w:val="EndnoteText"/>
      </w:pPr>
    </w:p>
    <w:p w14:paraId="35B14439" w14:textId="77777777" w:rsidR="00E63A03" w:rsidRDefault="00E63A03" w:rsidP="00E63A03">
      <w:pPr>
        <w:rPr>
          <w:szCs w:val="24"/>
        </w:rPr>
      </w:pPr>
      <w:r>
        <w:rPr>
          <w:szCs w:val="24"/>
        </w:rPr>
        <w:t>The ability of an entity other than the named beneficiary or its legal successor to draw depends on</w:t>
      </w:r>
      <w:r w:rsidRPr="00241F85">
        <w:rPr>
          <w:szCs w:val="24"/>
        </w:rPr>
        <w:t xml:space="preserve"> </w:t>
      </w:r>
      <w:r>
        <w:rPr>
          <w:szCs w:val="24"/>
        </w:rPr>
        <w:t>ISP98 Rules 6.01 – 6.05 (Transfer of Drawing Rights) and UCC § 5-112 (Transfer of Letter of Credit). Unless expressly permitted in the standby, these provisions prohibit transfers of drawing rights. They do so for the protection of named beneficiaries as well as</w:t>
      </w:r>
      <w:r w:rsidRPr="00372391">
        <w:rPr>
          <w:szCs w:val="24"/>
        </w:rPr>
        <w:t xml:space="preserve"> </w:t>
      </w:r>
      <w:r>
        <w:rPr>
          <w:szCs w:val="24"/>
        </w:rPr>
        <w:t>applicants and issuers. See ISP98 Form 4 (Model Standby Providing for Transfer and Incorporating Annexed Form of Transfer Demand) endnotes 1-3 on the special treatment of transferees at the time of standby issuance and of any attempted transfer by the beneficiary or attempted drawing by a claimed transferee.</w:t>
      </w:r>
    </w:p>
    <w:p w14:paraId="6C931060" w14:textId="77777777" w:rsidR="00E63A03" w:rsidRDefault="00E63A03" w:rsidP="00E63A03">
      <w:pPr>
        <w:rPr>
          <w:szCs w:val="24"/>
        </w:rPr>
      </w:pPr>
    </w:p>
    <w:p w14:paraId="60E832A0" w14:textId="77777777" w:rsidR="00E63A03" w:rsidRDefault="00E63A03" w:rsidP="00E63A03">
      <w:pPr>
        <w:rPr>
          <w:szCs w:val="24"/>
        </w:rPr>
      </w:pPr>
      <w:r>
        <w:rPr>
          <w:szCs w:val="24"/>
        </w:rPr>
        <w:t>If the beneficiary requests the issuer to pay to a third party part or all of any honored presentation, then that request is for an assignment of proceeds rather than a transfer of drawing rights. Assignments of letter of credit proceeds are governed by ISP98 Rules 6.06—6.10 (Acknowledgement of Assignment of Proceeds) and UCC § 5-114 (Assignment of Proceeds). (They are also subject to secured transactions laws.)</w:t>
      </w:r>
      <w:r w:rsidRPr="00F25688">
        <w:rPr>
          <w:color w:val="FF0000"/>
          <w:szCs w:val="24"/>
        </w:rPr>
        <w:t xml:space="preserve"> </w:t>
      </w:r>
      <w:r>
        <w:rPr>
          <w:szCs w:val="24"/>
        </w:rPr>
        <w:t xml:space="preserve">They are less exceptional than transfers of drawing rights. See ISP98 Form 4 endnote 1 on the differences between transfers and assignments under the special laws and practices applicable to letters of credit. </w:t>
      </w:r>
    </w:p>
    <w:p w14:paraId="46EB18CA" w14:textId="77777777" w:rsidR="00E63A03" w:rsidRDefault="00E63A03" w:rsidP="00E63A03">
      <w:pPr>
        <w:rPr>
          <w:szCs w:val="24"/>
        </w:rPr>
      </w:pPr>
    </w:p>
    <w:p w14:paraId="4422D01B" w14:textId="77777777" w:rsidR="00E63A03" w:rsidRDefault="00E63A03" w:rsidP="00E63A03">
      <w:pPr>
        <w:rPr>
          <w:szCs w:val="24"/>
        </w:rPr>
      </w:pPr>
      <w:r>
        <w:rPr>
          <w:szCs w:val="24"/>
        </w:rPr>
        <w:t xml:space="preserve">Assignments of proceeds require some individualized treatment either at the time of issuance or, more typically, at the time of a request for acknowledgement of an attempted assignment of proceeds to a named assignee. An issuer's acknowledgement may be provided in a separate acknowledgement form that protects the issuer against any additional risks associated with paying someone other than the named beneficiary. Many issuers regularly acknowledge assignments of </w:t>
      </w:r>
      <w:r w:rsidRPr="008C6EE9">
        <w:rPr>
          <w:szCs w:val="24"/>
        </w:rPr>
        <w:t>proceeds on standard assignment forms with standard screening of the proposed assignee and for a modest fee. Endnotes 23 (Place and method of payment) and 33 (Request for wire transfer to beneficiary’s account) include optional standby text that would acknowledge an assignment of proceeds made</w:t>
      </w:r>
      <w:r>
        <w:rPr>
          <w:szCs w:val="24"/>
        </w:rPr>
        <w:t xml:space="preserve"> by the beneficiary's presentation of a complying demand that included a request to pay proceeds to an identified account of an identified third party.</w:t>
      </w:r>
    </w:p>
    <w:p w14:paraId="069663AB" w14:textId="77777777" w:rsidR="00E63A03" w:rsidRDefault="00E63A03" w:rsidP="00E63A03">
      <w:pPr>
        <w:rPr>
          <w:szCs w:val="24"/>
        </w:rPr>
      </w:pPr>
    </w:p>
    <w:p w14:paraId="527A5204" w14:textId="77777777" w:rsidR="00E63A03" w:rsidRDefault="00E63A03" w:rsidP="00E63A03">
      <w:pPr>
        <w:rPr>
          <w:szCs w:val="24"/>
        </w:rPr>
      </w:pPr>
      <w:r>
        <w:rPr>
          <w:szCs w:val="24"/>
        </w:rPr>
        <w:t xml:space="preserve">A standby that undertakes to pay the named beneficiary's "successors" or "assigns", without more, does not add to the rights of the named beneficiary or its claimed legal successors, transferees, or assignees of proceeds or otherwise circumvent the limitations imposed under ISP98 and UCC Article 5. Only a legal successor covered by UCC § 5-113 (Transfer by Operation of Law) and ISP98 Rules 6.11—6.14 (Transfer by Operation of Law) </w:t>
      </w:r>
      <w:r w:rsidRPr="00F25688">
        <w:rPr>
          <w:szCs w:val="24"/>
        </w:rPr>
        <w:t>would be protected (with or without a reference to successors or assigns in the standby)</w:t>
      </w:r>
      <w:r>
        <w:rPr>
          <w:szCs w:val="24"/>
        </w:rPr>
        <w:t>.</w:t>
      </w:r>
      <w:r w:rsidRPr="00F25688">
        <w:rPr>
          <w:szCs w:val="24"/>
        </w:rPr>
        <w:t xml:space="preserve"> </w:t>
      </w:r>
      <w:r>
        <w:rPr>
          <w:szCs w:val="24"/>
        </w:rPr>
        <w:t>Any other type of</w:t>
      </w:r>
      <w:r w:rsidRPr="00F25688">
        <w:rPr>
          <w:szCs w:val="24"/>
        </w:rPr>
        <w:t xml:space="preserve"> claimed successor, transferee</w:t>
      </w:r>
      <w:r>
        <w:rPr>
          <w:szCs w:val="24"/>
        </w:rPr>
        <w:t>,</w:t>
      </w:r>
      <w:r w:rsidRPr="00F25688">
        <w:rPr>
          <w:szCs w:val="24"/>
        </w:rPr>
        <w:t xml:space="preserve"> or assignee </w:t>
      </w:r>
      <w:r>
        <w:rPr>
          <w:szCs w:val="24"/>
        </w:rPr>
        <w:t>would need</w:t>
      </w:r>
      <w:r w:rsidRPr="00F25688">
        <w:rPr>
          <w:szCs w:val="24"/>
        </w:rPr>
        <w:t xml:space="preserve"> the issuer's acknowledgement of its </w:t>
      </w:r>
      <w:r>
        <w:rPr>
          <w:szCs w:val="24"/>
        </w:rPr>
        <w:t xml:space="preserve">claimed </w:t>
      </w:r>
      <w:r w:rsidRPr="00F25688">
        <w:rPr>
          <w:szCs w:val="24"/>
        </w:rPr>
        <w:t>status.</w:t>
      </w:r>
    </w:p>
    <w:p w14:paraId="39A93474" w14:textId="77777777" w:rsidR="00E63A03" w:rsidRDefault="00E63A03" w:rsidP="00E63A03">
      <w:pPr>
        <w:rPr>
          <w:szCs w:val="24"/>
        </w:rPr>
      </w:pPr>
    </w:p>
    <w:p w14:paraId="2B4E072E" w14:textId="77777777" w:rsidR="00E63A03" w:rsidRDefault="00E63A03" w:rsidP="00E63A03">
      <w:pPr>
        <w:pStyle w:val="EndnoteText"/>
      </w:pPr>
      <w:r>
        <w:rPr>
          <w:szCs w:val="24"/>
        </w:rPr>
        <w:t>Similarly, a standby that engages with "drawers, endorsers, and bona fide holders" would be using an outmoded form of nominating other banks to negotiate complying drafts under a UCP commercial letter of credit (see Official Comment 7 to UCC § 5-102). It would not satisfy ISP98 requirements for nomination or excuse a claimed bona fide holder from having to obtain the issuer's acknowledgement of its status.</w:t>
      </w:r>
      <w:r>
        <w:t xml:space="preserve"> See endnote 5 (Independence) on the separate need to satisfy ISP98 Rule 4.11 (Non-Documentary Terms or Conditions) as applied to a term like “bona fide holder”.</w:t>
      </w:r>
    </w:p>
    <w:p w14:paraId="6B763CA9" w14:textId="77777777" w:rsidR="00E63A03" w:rsidRDefault="00E63A03" w:rsidP="00E63A03">
      <w:pPr>
        <w:pStyle w:val="EndnoteText"/>
        <w:tabs>
          <w:tab w:val="left" w:pos="5610"/>
        </w:tabs>
      </w:pPr>
    </w:p>
  </w:endnote>
  <w:endnote w:id="2">
    <w:p w14:paraId="2C5C18AE" w14:textId="77777777" w:rsidR="0025716F" w:rsidRPr="008C6EE9"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C6EE9">
        <w:rPr>
          <w:vertAlign w:val="superscript"/>
        </w:rPr>
        <w:endnoteRef/>
      </w:r>
      <w:r w:rsidRPr="008C6EE9">
        <w:t xml:space="preserve">  </w:t>
      </w:r>
      <w:r w:rsidRPr="008C6EE9">
        <w:rPr>
          <w:u w:val="single"/>
        </w:rPr>
        <w:t>Applicant.</w:t>
      </w:r>
      <w:r w:rsidRPr="008C6EE9">
        <w:t xml:space="preserve"> The applicant named in a standby is typically the person whose underlying obligations to the government beneficiary are supported by the standby. See endnote 30 ("Applicant" as underlying obligor). For </w:t>
      </w:r>
      <w:r w:rsidRPr="008C6EE9">
        <w:rPr>
          <w:color w:val="000000"/>
        </w:rPr>
        <w:t>issues that may arise where the applicant is not the underlying obligor or where there are multiple applicants, see</w:t>
      </w:r>
      <w:r w:rsidRPr="008C6EE9">
        <w:t xml:space="preserve"> ISP98 Form 1 endnotes 1 and 30</w:t>
      </w:r>
      <w:r w:rsidRPr="008C6EE9">
        <w:rPr>
          <w:color w:val="000000"/>
        </w:rPr>
        <w:t>.</w:t>
      </w:r>
    </w:p>
    <w:p w14:paraId="642B8C66" w14:textId="77777777" w:rsidR="0025716F" w:rsidRPr="008C6EE9"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endnote>
  <w:endnote w:id="3">
    <w:p w14:paraId="75B5FFF1" w14:textId="77777777" w:rsidR="0025716F" w:rsidRPr="008C6EE9" w:rsidRDefault="0025716F" w:rsidP="0025716F">
      <w:pPr>
        <w:pStyle w:val="EndnoteText"/>
      </w:pPr>
      <w:r w:rsidRPr="008C6EE9">
        <w:rPr>
          <w:rStyle w:val="EndnoteReference"/>
        </w:rPr>
        <w:endnoteRef/>
      </w:r>
      <w:r w:rsidRPr="008C6EE9">
        <w:t xml:space="preserve">  </w:t>
      </w:r>
      <w:r w:rsidRPr="008C6EE9">
        <w:rPr>
          <w:u w:val="single"/>
        </w:rPr>
        <w:t>Date and place of issuance.</w:t>
      </w:r>
      <w:r w:rsidRPr="008C6EE9">
        <w:t xml:space="preserve"> </w:t>
      </w:r>
      <w:r w:rsidRPr="008C6EE9">
        <w:rPr>
          <w:szCs w:val="24"/>
        </w:rPr>
        <w:t>Standbys commonly recite the issuance date and the place of issuance) at the top of the undertaking or in the first paragraph of the text (or both).</w:t>
      </w:r>
      <w:r w:rsidRPr="008C6EE9">
        <w:t xml:space="preserve"> </w:t>
      </w:r>
    </w:p>
    <w:p w14:paraId="6228A70D" w14:textId="77777777" w:rsidR="0025716F" w:rsidRPr="008C6EE9" w:rsidRDefault="0025716F" w:rsidP="0025716F">
      <w:pPr>
        <w:pStyle w:val="EndnoteText"/>
      </w:pPr>
    </w:p>
    <w:p w14:paraId="4C9D8A25" w14:textId="77777777" w:rsidR="0025716F" w:rsidRDefault="0025716F" w:rsidP="0025716F">
      <w:pPr>
        <w:pStyle w:val="EndnoteText"/>
      </w:pPr>
      <w:r w:rsidRPr="008C6EE9">
        <w:t>The indicated place of issuance is significant in determining what law governs the issuer’s obligations. Absent an indication of the place of issuance in the standby, it may prove difficult to determine a single place of issuance, even with full knowledge of the process resulting in sending the standby to the beneficiary. See endnote 12</w:t>
      </w:r>
      <w:r w:rsidRPr="008C6EE9">
        <w:rPr>
          <w:color w:val="FF0000"/>
        </w:rPr>
        <w:t xml:space="preserve"> </w:t>
      </w:r>
      <w:r w:rsidRPr="008C6EE9">
        <w:t>(Place of presentation), which may differ from the place of issuance.</w:t>
      </w:r>
    </w:p>
    <w:p w14:paraId="52C980E9" w14:textId="77777777" w:rsidR="0025716F" w:rsidRDefault="0025716F" w:rsidP="0025716F">
      <w:pPr>
        <w:pStyle w:val="EndnoteText"/>
      </w:pPr>
    </w:p>
  </w:endnote>
  <w:endnote w:id="4">
    <w:p w14:paraId="176351D3" w14:textId="77777777" w:rsidR="0025716F" w:rsidRDefault="0025716F" w:rsidP="0025716F">
      <w:pPr>
        <w:pStyle w:val="EndnoteText"/>
      </w:pPr>
      <w:r>
        <w:rPr>
          <w:rStyle w:val="EndnoteReference"/>
        </w:rPr>
        <w:endnoteRef/>
      </w:r>
      <w:r>
        <w:t xml:space="preserve">  </w:t>
      </w:r>
      <w:r w:rsidRPr="008D0EA1">
        <w:rPr>
          <w:u w:val="single"/>
        </w:rPr>
        <w:t>Irrevocability</w:t>
      </w:r>
      <w:r w:rsidRPr="00EE10B8">
        <w:rPr>
          <w:u w:val="single"/>
        </w:rPr>
        <w:t>.</w:t>
      </w:r>
      <w:r>
        <w:t xml:space="preserve"> It is unnecessary to state that an ISP98 standby is irrevocable. See ISP98 Rule 1.06(a) and (b) (Nature of Standbys) and UCC § 5-106(a) (Issuance, Amendment, Cancellation, and Duration). This ISP98 Form 11.1</w:t>
      </w:r>
      <w:r>
        <w:rPr>
          <w:color w:val="FF0000"/>
        </w:rPr>
        <w:t xml:space="preserve"> </w:t>
      </w:r>
      <w:r w:rsidRPr="005D1BC9">
        <w:t xml:space="preserve">includes </w:t>
      </w:r>
      <w:r>
        <w:t>the word “irrevocable” for comfort.</w:t>
      </w:r>
    </w:p>
    <w:p w14:paraId="5846C3B3" w14:textId="77777777" w:rsidR="0025716F" w:rsidRDefault="0025716F" w:rsidP="0025716F">
      <w:pPr>
        <w:pStyle w:val="EndnoteText"/>
      </w:pPr>
    </w:p>
  </w:endnote>
  <w:endnote w:id="5">
    <w:p w14:paraId="2DCE7EC6" w14:textId="77777777" w:rsidR="0025716F" w:rsidRDefault="0025716F" w:rsidP="0025716F">
      <w:pPr>
        <w:pStyle w:val="EndnoteText"/>
      </w:pPr>
      <w:r>
        <w:rPr>
          <w:rStyle w:val="EndnoteReference"/>
        </w:rPr>
        <w:endnoteRef/>
      </w:r>
      <w:r>
        <w:t xml:space="preserve">  </w:t>
      </w:r>
      <w:r>
        <w:rPr>
          <w:u w:val="single"/>
        </w:rPr>
        <w:t>Independence.</w:t>
      </w:r>
      <w:r>
        <w:rPr>
          <w:b/>
        </w:rPr>
        <w:t xml:space="preserve"> </w:t>
      </w:r>
      <w:r>
        <w:t>It is unnecessary</w:t>
      </w:r>
      <w:r>
        <w:rPr>
          <w:b/>
        </w:rPr>
        <w:t xml:space="preserve"> </w:t>
      </w:r>
      <w:r>
        <w:t>to state that an ISP98 standby issued in the U.S. is independent. The obligation of the issuer to honor a complying presentation is independent from the applicant-beneficiary and applicant-issuer relationships as a matter of law, as well as practice rule. See ISP98 Rules 1.06(c) (Nature of Standbys) and 1.07 (Independence of the Issuer-Beneficiary Relationship) and UCC § 5-103(d) (Scope). This central feature of a letter of credit distinguishes it from ordinary guarantees and suretyship promises. This ISP98 Form 11.1 includes the word “independent” for comfort.</w:t>
      </w:r>
    </w:p>
    <w:p w14:paraId="65E2361D" w14:textId="77777777" w:rsidR="0025716F" w:rsidRDefault="0025716F" w:rsidP="0025716F">
      <w:pPr>
        <w:pStyle w:val="EndnoteText"/>
      </w:pPr>
    </w:p>
    <w:p w14:paraId="3242DB9D" w14:textId="77777777" w:rsidR="0025716F" w:rsidRDefault="0025716F" w:rsidP="0025716F">
      <w:pPr>
        <w:pStyle w:val="EndnoteText"/>
        <w:rPr>
          <w:szCs w:val="24"/>
        </w:rPr>
      </w:pPr>
      <w:r>
        <w:rPr>
          <w:szCs w:val="24"/>
        </w:rPr>
        <w:t>ISP98 Rule 4.11 (Non-Documentary Terms or Conditions), like UCC § 5-108(g) (Issuer’s Rights and Obligations), provides that non-documentary conditions in a standby must be disregarded. This rule is intended to protect the independence of an undertaking issued subject to ISP98 (or UCC Article 5). Common examples of non-documentary conditions include standby provisions that payment or termination of the underlying obligation will reduce or accelerate expiration or otherwise affect the standby issuer's obligations.</w:t>
      </w:r>
      <w:r>
        <w:rPr>
          <w:sz w:val="28"/>
          <w:szCs w:val="28"/>
        </w:rPr>
        <w:t xml:space="preserve"> </w:t>
      </w:r>
      <w:r>
        <w:rPr>
          <w:szCs w:val="24"/>
        </w:rPr>
        <w:t>They tend to mislead applicants who do not appreciate that the issuer must ignore them. Similarly, rights under a standby extended to "bona fide holders of complying drafts" or to "assigns" of the named beneficiary are unenforceable unless the standby clarifies whether nomination, transfer of drawing rights, or assignment of proceeds is intended and then also how such intended rights may be invoked by the presentation of documents that are specified in the standby text or ISP98 Rule 6 (Transfer, Assignment, &amp; Transfer by Operation of Law). Some government standby forms run undue risks under the "non-documentary conditions must be disregarded" rule. This ISP98 Form 11.1 does not.</w:t>
      </w:r>
    </w:p>
    <w:p w14:paraId="49EFF126" w14:textId="77777777" w:rsidR="0025716F" w:rsidRDefault="0025716F" w:rsidP="0025716F">
      <w:pPr>
        <w:pStyle w:val="EndnoteText"/>
      </w:pPr>
    </w:p>
    <w:p w14:paraId="150313DA" w14:textId="77777777" w:rsidR="0025716F" w:rsidRDefault="0025716F" w:rsidP="0025716F">
      <w:pPr>
        <w:pStyle w:val="EndnoteText"/>
      </w:pPr>
      <w:r>
        <w:t xml:space="preserve">It is undesirable to state that a standby is “unconditional”, “primary”, or “absolute”. See ISP98 Rule 1.10(a) (Redundant or Otherwise Undesirable Terms). A standby is by legal and practice rule definition a conditional undertaking, conditioned on the timely presentation of complying documents. As such, </w:t>
      </w:r>
      <w:r>
        <w:t>its undertaking to pay is not "unconditional" or "absolute" when issued (although it may become such after a complying presentation is made). The term “primary” has no meaning in letter of credit law or practice and confuses letters of credit with suretyship undertakings.</w:t>
      </w:r>
    </w:p>
    <w:p w14:paraId="321D4BE4" w14:textId="77777777" w:rsidR="0025716F" w:rsidRDefault="0025716F" w:rsidP="0025716F">
      <w:pPr>
        <w:pStyle w:val="EndnoteText"/>
      </w:pPr>
    </w:p>
    <w:p w14:paraId="28F53E6D" w14:textId="77777777" w:rsidR="0025716F" w:rsidRDefault="0025716F" w:rsidP="0025716F">
      <w:pPr>
        <w:rPr>
          <w:szCs w:val="24"/>
        </w:rPr>
      </w:pPr>
      <w:r>
        <w:rPr>
          <w:szCs w:val="24"/>
        </w:rPr>
        <w:t xml:space="preserve">It is unnecessary to include any so-called integration or merger clause (e.g., “This letter of credit sets forth in full issuer’s undertaking, and such undertaking shall not in any way be modified, amplified or amended by reference to any document, instrument, agreement or note referred to herein and any such reference shall not be deemed to be incorporated herein by reference to any such document, instrument, agreement or note.”). No such recital can usefully supplement any standby subject to ISP98 (or governed by UCC Article 5). Such clauses should be avoided because they might detract from the more authoritative and better worded statements of standby independence in ISP98 Rules 1.06(c) (Nature of Standbys) and 1.07 (Independence of the Issuer-Beneficiary Relationship) and UCC </w:t>
      </w:r>
      <w:r>
        <w:t>§</w:t>
      </w:r>
      <w:r>
        <w:rPr>
          <w:szCs w:val="24"/>
        </w:rPr>
        <w:t xml:space="preserve"> 5-103(d) (Scope). Such clauses should also be avoided because they invite application of contract law principles relevant to a bargain between the issuer and beneficiary, rather than letter of credit law principles relevant to an independent undertaking of the issuer. See ISP98 Form 5 (Simplified Demand Only Standby) endnote 1.</w:t>
      </w:r>
    </w:p>
    <w:p w14:paraId="636891D8" w14:textId="77777777" w:rsidR="0025716F" w:rsidRDefault="0025716F" w:rsidP="0025716F">
      <w:pPr>
        <w:rPr>
          <w:szCs w:val="24"/>
        </w:rPr>
      </w:pPr>
    </w:p>
    <w:p w14:paraId="3DAFF8CA" w14:textId="77777777" w:rsidR="0025716F" w:rsidRDefault="0025716F" w:rsidP="0025716F">
      <w:pPr>
        <w:rPr>
          <w:szCs w:val="24"/>
        </w:rPr>
      </w:pPr>
      <w:r>
        <w:rPr>
          <w:szCs w:val="24"/>
        </w:rPr>
        <w:t>Similarly, it is unnecessary for a standby to recite that payment under it will be made from the issuer's own funds. The independence of the issuer's obligation as a matter of law assures that the issuer's payment discharges the issuer's obligation without regard to the effect of that payment on the applicant's underlying obligations. An "own funds" recital does not and cannot protect a beneficiary against claims from an applicant (or a bankrupt applicant's representative) based on the underlying applicant-beneficiary relationship.</w:t>
      </w:r>
    </w:p>
    <w:p w14:paraId="22E837C0" w14:textId="77777777" w:rsidR="0025716F" w:rsidRDefault="0025716F" w:rsidP="0025716F"/>
  </w:endnote>
  <w:endnote w:id="6">
    <w:p w14:paraId="41AF7679"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Style w:val="EndnoteReference"/>
        </w:rPr>
        <w:endnoteRef/>
      </w:r>
      <w:r>
        <w:t xml:space="preserve"> </w:t>
      </w:r>
      <w:r>
        <w:rPr>
          <w:sz w:val="28"/>
          <w:szCs w:val="28"/>
        </w:rPr>
        <w:t xml:space="preserve"> </w:t>
      </w:r>
      <w:r w:rsidRPr="0015246F">
        <w:rPr>
          <w:u w:val="single"/>
        </w:rPr>
        <w:t>Nomination.</w:t>
      </w:r>
      <w:r>
        <w:t xml:space="preserve"> This ISP98 Form </w:t>
      </w:r>
      <w:r w:rsidRPr="005D1BC9">
        <w:t>11.1</w:t>
      </w:r>
      <w:r w:rsidRPr="00CC3AED">
        <w:t xml:space="preserve"> does not include a</w:t>
      </w:r>
      <w:r>
        <w:t xml:space="preserve"> request that it be advised to the government beneficiary through another bank. Advice signifies that the advisor has checked the apparent authenticity of the standby and accurately advised what it has received. See ISP98 Rule 2.05 (Advice of Standby or Amendment) and UCC § 5-107(c) (Confirmer, Nominated Person, and Adviser). Use of an advising bank is a simple and inexpensive way to reduce the beneficiary's risk of relying on a forged standby. (The terms "advisor", "adviser", and "advising bank" are used interchangeably to refer to these limited functions, and use of the term “bank” recognizes that nomination is almost invariably of a bank and not of any limitation on non-banks acting under ISP98.)</w:t>
      </w:r>
    </w:p>
    <w:p w14:paraId="0360E2DE"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36EC0922" w14:textId="77777777" w:rsidR="0025716F" w:rsidRPr="005332D4" w:rsidRDefault="0025716F" w:rsidP="0025716F">
      <w:pPr>
        <w:pStyle w:val="EndnoteText"/>
      </w:pPr>
      <w:r>
        <w:t>This form could provide for advice by addressing the standby to the advisor and adding a new second paragraph, e.g.</w:t>
      </w:r>
      <w:r w:rsidRPr="002C2E53">
        <w:t>:</w:t>
      </w:r>
      <w:r>
        <w:t xml:space="preserve"> “</w:t>
      </w:r>
      <w:r w:rsidRPr="002C2E53">
        <w:t>Advis</w:t>
      </w:r>
      <w:r>
        <w:t>or</w:t>
      </w:r>
      <w:r w:rsidRPr="002C2E53">
        <w:t xml:space="preserve">: </w:t>
      </w:r>
      <w:r w:rsidRPr="002C2E53">
        <w:rPr>
          <w:b/>
        </w:rPr>
        <w:t xml:space="preserve">[name </w:t>
      </w:r>
      <w:r>
        <w:rPr>
          <w:b/>
        </w:rPr>
        <w:t xml:space="preserve">and address(es) </w:t>
      </w:r>
      <w:r w:rsidRPr="002C2E53">
        <w:rPr>
          <w:b/>
        </w:rPr>
        <w:t xml:space="preserve">of </w:t>
      </w:r>
      <w:r>
        <w:rPr>
          <w:b/>
        </w:rPr>
        <w:t>beneficiary's</w:t>
      </w:r>
      <w:r w:rsidRPr="002C2E53">
        <w:rPr>
          <w:b/>
        </w:rPr>
        <w:t xml:space="preserve"> bank]</w:t>
      </w:r>
      <w:r w:rsidRPr="002C2E53">
        <w:t xml:space="preserve"> is requested to advise </w:t>
      </w:r>
      <w:r>
        <w:t>Beneficiary of the issuance of this Standby. Issuer undertakes to route any amendment, notice of non-</w:t>
      </w:r>
      <w:r w:rsidRPr="008C6EE9">
        <w:t xml:space="preserve">extension, or other communication affecting this Standby through Advisor to advise Beneficiary </w:t>
      </w:r>
      <w:r w:rsidRPr="005332D4">
        <w:t xml:space="preserve">thereof [and to receive communications from Advisor as authentic communications from the indicated officer or other representative of Beneficiary].” </w:t>
      </w:r>
    </w:p>
    <w:p w14:paraId="182736D2" w14:textId="77777777" w:rsidR="0025716F" w:rsidRPr="005332D4" w:rsidRDefault="0025716F" w:rsidP="0025716F">
      <w:pPr>
        <w:pStyle w:val="EndnoteText"/>
      </w:pPr>
    </w:p>
    <w:p w14:paraId="336EC51F"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5332D4">
        <w:t>A government beneficiary may wish to consider requiring that one or more banks chosen by it be nominated in substantially all standbys issued in its favor to advise them. This step would provide a</w:t>
      </w:r>
      <w:r w:rsidR="005332D4" w:rsidRPr="005332D4">
        <w:t xml:space="preserve"> valuable check of the authenticity of the</w:t>
      </w:r>
      <w:r w:rsidRPr="005332D4">
        <w:t xml:space="preserve"> standby and might facilitate record keeping for the government on issuances, amendments, notices of non-extension</w:t>
      </w:r>
      <w:r>
        <w:t>, etc., as well as timely presentation of the government beneficiary's demands.</w:t>
      </w:r>
      <w:r w:rsidRPr="00372391">
        <w:t xml:space="preserve"> </w:t>
      </w:r>
      <w:r>
        <w:t>S</w:t>
      </w:r>
      <w:r w:rsidRPr="008C6EE9">
        <w:t>ee endnote 6</w:t>
      </w:r>
      <w:r>
        <w:t xml:space="preserve"> (Nomination).</w:t>
      </w:r>
    </w:p>
    <w:p w14:paraId="3B8CFDE5" w14:textId="77777777" w:rsidR="0025716F" w:rsidRPr="008C6EE9"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2AF5068C"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8C6EE9">
        <w:t xml:space="preserve">The </w:t>
      </w:r>
      <w:r>
        <w:t>suggested</w:t>
      </w:r>
      <w:r w:rsidRPr="008C6EE9">
        <w:t xml:space="preserve"> text above could be expanded to provide for presentation to the issuer by authenticated SWIFT inter-bank message quoting the beneficiary's demand</w:t>
      </w:r>
      <w:r>
        <w:t xml:space="preserve"> rather than by courier delivery of the beneficiary's originally signed demand.</w:t>
      </w:r>
    </w:p>
    <w:p w14:paraId="1508DFDC"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1080BAD7"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Nomination of another bank in a standby could be expanded to provide for confirmation (see the General Comments) or to authorize giving value against a complying presentation, which is beyond the scope of this ISP98 Form 11.1. As stated in ISP98 Rule 2.04 (Nomination), nominated banks are not bound by the issuer’s nomination or authorized to bind the issuer, nor are they governed by the same laws. See endnotes 24 (Incorporation of ISP98; optional choice of law and forum) and 25 (Charges and fees for issuance, advice, and confirmation).</w:t>
      </w:r>
    </w:p>
    <w:p w14:paraId="358C7B42" w14:textId="77777777" w:rsidR="0025716F" w:rsidRDefault="0025716F" w:rsidP="0025716F">
      <w:pPr>
        <w:pStyle w:val="EndnoteText"/>
      </w:pPr>
    </w:p>
  </w:endnote>
  <w:endnote w:id="7">
    <w:p w14:paraId="696172CF" w14:textId="77777777" w:rsidR="0025716F" w:rsidRPr="00AA544D" w:rsidRDefault="0025716F" w:rsidP="0025716F">
      <w:pPr>
        <w:pStyle w:val="EndnoteText"/>
      </w:pPr>
      <w:r>
        <w:rPr>
          <w:rStyle w:val="EndnoteReference"/>
        </w:rPr>
        <w:endnoteRef/>
      </w:r>
      <w:r w:rsidRPr="00172F9F">
        <w:t xml:space="preserve"> </w:t>
      </w:r>
      <w:r>
        <w:t xml:space="preserve"> </w:t>
      </w:r>
      <w:r w:rsidRPr="000E66D0">
        <w:rPr>
          <w:u w:val="single"/>
        </w:rPr>
        <w:t>Amount available</w:t>
      </w:r>
      <w:r w:rsidRPr="00EE10B8">
        <w:rPr>
          <w:u w:val="single"/>
        </w:rPr>
        <w:t>.</w:t>
      </w:r>
      <w:r>
        <w:t xml:space="preserve"> ISP98 Rule 3.08 (Partial Drawings &amp; Multiple Presentations; Amount of Drawings) permits presentations for less than the amount available under a standby.</w:t>
      </w:r>
      <w:r w:rsidDel="00FF3B91">
        <w:t xml:space="preserve"> </w:t>
      </w:r>
      <w:r w:rsidRPr="00041BE0">
        <w:t xml:space="preserve">See ISP98 Form 3 (Model Standby Providing for Reduction and Incorporating Annexed Form of Reduction Demand) on the possibility of reducing the amount available other than by honoring a payment </w:t>
      </w:r>
      <w:r w:rsidRPr="00AA544D">
        <w:t>demand.</w:t>
      </w:r>
    </w:p>
    <w:p w14:paraId="5A7E5540" w14:textId="77777777" w:rsidR="0025716F" w:rsidRPr="00AA544D" w:rsidRDefault="0025716F" w:rsidP="0025716F">
      <w:pPr>
        <w:pStyle w:val="EndnoteText"/>
      </w:pPr>
    </w:p>
    <w:p w14:paraId="3B99613A" w14:textId="77777777" w:rsidR="0025716F" w:rsidRDefault="0025716F" w:rsidP="0025716F">
      <w:pPr>
        <w:pStyle w:val="EndnoteText"/>
      </w:pPr>
      <w:r>
        <w:t xml:space="preserve">It is unnecessary to state </w:t>
      </w:r>
      <w:r w:rsidRPr="008C6EE9">
        <w:t>in a standby, or in a demand form, that the amount demanded must be, or is, available under the standby. The amount available is determinable without dependence on any such statement. See endnote 15 (Overdrawing).</w:t>
      </w:r>
    </w:p>
    <w:p w14:paraId="0633B3E8" w14:textId="77777777" w:rsidR="00B83BBE" w:rsidRDefault="00B83BBE" w:rsidP="0025716F">
      <w:pPr>
        <w:pStyle w:val="EndnoteText"/>
      </w:pPr>
    </w:p>
  </w:endnote>
  <w:endnote w:id="8">
    <w:p w14:paraId="088989DA" w14:textId="77777777" w:rsidR="0025716F" w:rsidRDefault="0025716F" w:rsidP="0025716F">
      <w:pPr>
        <w:pStyle w:val="EndnoteText"/>
      </w:pPr>
      <w:r>
        <w:rPr>
          <w:rStyle w:val="EndnoteReference"/>
        </w:rPr>
        <w:endnoteRef/>
      </w:r>
      <w:r>
        <w:t xml:space="preserve">  </w:t>
      </w:r>
      <w:r w:rsidRPr="00082386">
        <w:rPr>
          <w:u w:val="single"/>
        </w:rPr>
        <w:t xml:space="preserve">Annexed </w:t>
      </w:r>
      <w:r>
        <w:rPr>
          <w:u w:val="single"/>
        </w:rPr>
        <w:t>form of payment d</w:t>
      </w:r>
      <w:r w:rsidRPr="00E968A6">
        <w:rPr>
          <w:u w:val="single"/>
        </w:rPr>
        <w:t>emand</w:t>
      </w:r>
      <w:r w:rsidRPr="00EE10B8">
        <w:rPr>
          <w:u w:val="single"/>
        </w:rPr>
        <w:t>.</w:t>
      </w:r>
      <w:r>
        <w:t xml:space="preserve"> </w:t>
      </w:r>
      <w:r>
        <w:rPr>
          <w:szCs w:val="24"/>
        </w:rPr>
        <w:t>ISP98 Rule 4.08 (Demand Document Implied) requires presentation of a documentary demand for payment. Each</w:t>
      </w:r>
      <w:r>
        <w:t xml:space="preserve"> requirement for the presentation of a document should appear in the standby text specifying the document(s) to be presented and not merely as a recital in an annexed form of demand or required beneficiary statement.</w:t>
      </w:r>
    </w:p>
    <w:p w14:paraId="1F7A1703" w14:textId="77777777" w:rsidR="0025716F" w:rsidRDefault="0025716F" w:rsidP="0025716F">
      <w:pPr>
        <w:pStyle w:val="EndnoteText"/>
      </w:pPr>
    </w:p>
    <w:p w14:paraId="29D18504" w14:textId="77777777" w:rsidR="0025716F" w:rsidRDefault="0025716F" w:rsidP="0025716F">
      <w:pPr>
        <w:pStyle w:val="EndnoteText"/>
      </w:pPr>
      <w:r>
        <w:t xml:space="preserve">This ISP98 Form </w:t>
      </w:r>
      <w:r w:rsidRPr="005D1BC9">
        <w:t>11.1</w:t>
      </w:r>
      <w:r w:rsidRPr="00BA5CD6">
        <w:rPr>
          <w:color w:val="FF0000"/>
        </w:rPr>
        <w:t xml:space="preserve"> </w:t>
      </w:r>
      <w:r>
        <w:t xml:space="preserve">does not require presentation of </w:t>
      </w:r>
      <w:r w:rsidRPr="00B30515">
        <w:t xml:space="preserve">a "draft" </w:t>
      </w:r>
      <w:r>
        <w:t>but instead requires a demand. Requiring a draft, whether or not as the only document to be presented,</w:t>
      </w:r>
      <w:r w:rsidRPr="00B30515">
        <w:t xml:space="preserve"> is neither necessary nor efficient under a standby</w:t>
      </w:r>
      <w:r>
        <w:t xml:space="preserve"> that undertakes to pay at sight</w:t>
      </w:r>
      <w:r w:rsidRPr="00B30515">
        <w:t>.</w:t>
      </w:r>
      <w:r>
        <w:t xml:space="preserve"> (ISP98 Rule 4.16(c) (Demand for Payment) provides that a "draft" need not be in negotiable form.)</w:t>
      </w:r>
    </w:p>
    <w:p w14:paraId="65E8A366" w14:textId="77777777" w:rsidR="0025716F" w:rsidRDefault="0025716F" w:rsidP="0025716F">
      <w:pPr>
        <w:pStyle w:val="EndnoteText"/>
      </w:pPr>
    </w:p>
    <w:p w14:paraId="28D15BB2" w14:textId="77777777" w:rsidR="0025716F" w:rsidRDefault="0025716F" w:rsidP="0025716F">
      <w:pPr>
        <w:pStyle w:val="EndnoteText"/>
      </w:pPr>
      <w:r w:rsidRPr="00B30515">
        <w:t xml:space="preserve">This </w:t>
      </w:r>
      <w:r>
        <w:t xml:space="preserve">ISP98 Form </w:t>
      </w:r>
      <w:r w:rsidRPr="005D1BC9">
        <w:t>11.1</w:t>
      </w:r>
      <w:r>
        <w:t xml:space="preserve"> incorporates an annexed model</w:t>
      </w:r>
      <w:r w:rsidRPr="00B30515">
        <w:t xml:space="preserve"> </w:t>
      </w:r>
      <w:r>
        <w:t xml:space="preserve">form of payment </w:t>
      </w:r>
      <w:r w:rsidRPr="00B30515">
        <w:t xml:space="preserve">demand </w:t>
      </w:r>
      <w:r>
        <w:t>to be</w:t>
      </w:r>
      <w:r w:rsidRPr="00B30515">
        <w:t xml:space="preserve"> completed</w:t>
      </w:r>
      <w:r>
        <w:t xml:space="preserve"> and presented by the beneficiary. Annex</w:t>
      </w:r>
      <w:r w:rsidRPr="00B30515">
        <w:t xml:space="preserve">ing the desired form of payment demand (with any desired beneficiary statement) is </w:t>
      </w:r>
      <w:r>
        <w:t xml:space="preserve">not required by ISP98 </w:t>
      </w:r>
      <w:r w:rsidRPr="00B30515">
        <w:t>but promotes the efficient use of standbys.</w:t>
      </w:r>
      <w:r>
        <w:t xml:space="preserve"> Annex A satisfies the requirements of ISP98 Rule 4.16 (Demand for Payment), so that, when the government beneficiary completes the annexed form as indicated, it will include a demand for payment of a stated amount</w:t>
      </w:r>
      <w:r w:rsidRPr="0064198F">
        <w:t xml:space="preserve"> </w:t>
      </w:r>
      <w:r>
        <w:t>under an identified standby, be properly addressed, dated, and signed, and contain any required beneficiary statement.</w:t>
      </w:r>
      <w:r w:rsidRPr="00C06DCA">
        <w:rPr>
          <w:highlight w:val="yellow"/>
        </w:rPr>
        <w:t xml:space="preserve"> </w:t>
      </w:r>
    </w:p>
    <w:p w14:paraId="02B774C3" w14:textId="77777777" w:rsidR="0025716F" w:rsidRDefault="0025716F" w:rsidP="0025716F">
      <w:pPr>
        <w:pStyle w:val="EndnoteText"/>
        <w:rPr>
          <w:szCs w:val="24"/>
        </w:rPr>
      </w:pPr>
    </w:p>
    <w:p w14:paraId="5307200D" w14:textId="77777777" w:rsidR="0025716F" w:rsidRDefault="0025716F" w:rsidP="0025716F">
      <w:pPr>
        <w:pStyle w:val="EndnoteText"/>
        <w:rPr>
          <w:szCs w:val="24"/>
        </w:rPr>
      </w:pPr>
      <w:r>
        <w:rPr>
          <w:szCs w:val="24"/>
        </w:rPr>
        <w:t>While not optimal, Annex A could be deleted as a self-contained demand form and merged into the body of the standby with additional wording that would require that the demand be presented to the issuer’s indicated address, mention the standby reference number, be dated and signed by the beneficiary, and include the beneficiary statements that are now included in Annex A. A statement included in blocked wording or quotation marks in the body of a standby, like a statement included in an attached form such as Annex A, would be covered by ISP98 Rule 4.09(b) (Identical Wording &amp; Quotation Marks). See endnote 29 (Beneficiary statements) on the ISP98 standards for determining whether a beneficiary statement complies with the requirements of the standby.</w:t>
      </w:r>
    </w:p>
    <w:p w14:paraId="536569F1" w14:textId="77777777" w:rsidR="0025716F" w:rsidRDefault="0025716F" w:rsidP="0025716F">
      <w:pPr>
        <w:pStyle w:val="EndnoteText"/>
        <w:rPr>
          <w:szCs w:val="24"/>
        </w:rPr>
      </w:pPr>
    </w:p>
    <w:p w14:paraId="749E1D83" w14:textId="77777777" w:rsidR="0025716F" w:rsidRDefault="0025716F" w:rsidP="0025716F">
      <w:pPr>
        <w:pStyle w:val="EndnoteText"/>
        <w:rPr>
          <w:szCs w:val="24"/>
        </w:rPr>
      </w:pPr>
      <w:r>
        <w:rPr>
          <w:szCs w:val="24"/>
        </w:rPr>
        <w:t>Annex A includes a beneficiary statement that the applicant is obligated to pay the amount demanded as provided in an identified underlying contract, without further indicating the source or nature of the underlying payment obligations.</w:t>
      </w:r>
    </w:p>
    <w:p w14:paraId="70DF180F" w14:textId="77777777" w:rsidR="0025716F" w:rsidRDefault="0025716F" w:rsidP="0025716F">
      <w:pPr>
        <w:pStyle w:val="EndnoteText"/>
      </w:pPr>
    </w:p>
    <w:p w14:paraId="39AADFD3" w14:textId="77777777" w:rsidR="0025716F" w:rsidRDefault="0025716F" w:rsidP="0025716F">
      <w:pPr>
        <w:pStyle w:val="EndnoteText"/>
        <w:rPr>
          <w:szCs w:val="24"/>
        </w:rPr>
      </w:pPr>
      <w:r>
        <w:t>The underlying contract should be identified in Annex A when the standby is issued. While some standbys call for a draft only or for a payment demand that does not identify the underlying obligations intended to be supported by the standby, increasing concern regarding anti-money laundering has caused banks to press for the inclusion of such information. In this regard, government beneficiaries should set an example in their forms. Separately, there is the chance of dispute as to which particular underlying obligations are or are not to be satisfied or secured by any particular drawing under a particular standby. UCC §§ 5-110 (Warranties) and 5-117 (Subrogation of Issuer, Applicant, and Nominated Person) provide post-honor warranty and subrogation rights and remedies, which, together with the law applicable to the government beneficiary's relationship with the applicant, allow for an extended inquiry into the intentions of the parties regarding whether a payment received under a standby should be returned or differently applied.</w:t>
      </w:r>
    </w:p>
    <w:p w14:paraId="6B597C8A" w14:textId="77777777" w:rsidR="0025716F" w:rsidRDefault="0025716F" w:rsidP="0025716F">
      <w:pPr>
        <w:pStyle w:val="EndnoteText"/>
      </w:pPr>
    </w:p>
    <w:p w14:paraId="630BA0A2" w14:textId="77777777" w:rsidR="0025716F" w:rsidRDefault="0025716F" w:rsidP="0025716F">
      <w:pPr>
        <w:pStyle w:val="EndnoteText"/>
        <w:rPr>
          <w:szCs w:val="24"/>
        </w:rPr>
      </w:pPr>
      <w:r>
        <w:t xml:space="preserve">Assuming that the applicable regulation or contract requires that the applicant provide </w:t>
      </w:r>
      <w:r w:rsidRPr="00DB4762">
        <w:t>and maintain</w:t>
      </w:r>
      <w:r>
        <w:t xml:space="preserve"> acceptable standby support, it should also require that the imminent failure to maintain acceptable standby support will require timely payment either to satisfy or secure the underlying payment obligations supported by the standby. The beneficiary may then make the statement required in the Annex A form of payment demand, whether the problem is that the standby is set to expire too soon or the issuer or confirmer ceases to be acceptable to the government beneficiary.</w:t>
      </w:r>
    </w:p>
    <w:p w14:paraId="501E5346" w14:textId="77777777" w:rsidR="0025716F" w:rsidRDefault="0025716F" w:rsidP="0025716F">
      <w:pPr>
        <w:pStyle w:val="EndnoteText"/>
      </w:pPr>
    </w:p>
    <w:p w14:paraId="366D77E7" w14:textId="77777777" w:rsidR="0025716F" w:rsidRDefault="0025716F" w:rsidP="0025716F">
      <w:pPr>
        <w:pStyle w:val="EndnoteText"/>
        <w:rPr>
          <w:szCs w:val="24"/>
        </w:rPr>
      </w:pPr>
      <w:r>
        <w:t>The standards by which bank acceptability (notably creditworthiness) are to be measured are best addressed in the government's underlying contract</w:t>
      </w:r>
      <w:r w:rsidDel="005114B0">
        <w:t xml:space="preserve"> </w:t>
      </w:r>
      <w:r>
        <w:t>or regulation. Attempting to address bank acceptability in the text of the standby or confirmation is problematic and is resisted by many banks.</w:t>
      </w:r>
    </w:p>
    <w:p w14:paraId="209D99BC" w14:textId="77777777" w:rsidR="0025716F" w:rsidRDefault="0025716F" w:rsidP="0025716F">
      <w:pPr>
        <w:pStyle w:val="EndnoteText"/>
      </w:pPr>
    </w:p>
  </w:endnote>
  <w:endnote w:id="9">
    <w:p w14:paraId="591F7958" w14:textId="77777777" w:rsidR="0025716F" w:rsidRDefault="0025716F" w:rsidP="0025716F">
      <w:pPr>
        <w:pStyle w:val="EndnoteText"/>
        <w:rPr>
          <w:szCs w:val="24"/>
        </w:rPr>
      </w:pPr>
      <w:r>
        <w:rPr>
          <w:rStyle w:val="EndnoteReference"/>
        </w:rPr>
        <w:endnoteRef/>
      </w:r>
      <w:r>
        <w:t xml:space="preserve">  </w:t>
      </w:r>
      <w:r w:rsidRPr="00CC3AED">
        <w:rPr>
          <w:u w:val="single"/>
        </w:rPr>
        <w:t>Annexed form of payment demand</w:t>
      </w:r>
      <w:r w:rsidRPr="00082386">
        <w:rPr>
          <w:u w:val="single"/>
        </w:rPr>
        <w:t xml:space="preserve"> </w:t>
      </w:r>
      <w:r w:rsidRPr="00965E11">
        <w:rPr>
          <w:u w:val="single"/>
        </w:rPr>
        <w:t xml:space="preserve">after </w:t>
      </w:r>
      <w:r>
        <w:rPr>
          <w:u w:val="single"/>
        </w:rPr>
        <w:t>n</w:t>
      </w:r>
      <w:r w:rsidRPr="00965E11">
        <w:rPr>
          <w:u w:val="single"/>
        </w:rPr>
        <w:t xml:space="preserve">otice of </w:t>
      </w:r>
      <w:r>
        <w:rPr>
          <w:u w:val="single"/>
        </w:rPr>
        <w:t>n</w:t>
      </w:r>
      <w:r w:rsidRPr="00965E11">
        <w:rPr>
          <w:u w:val="single"/>
        </w:rPr>
        <w:t>on-extension</w:t>
      </w:r>
      <w:r>
        <w:t>. Optional Annex B should be included if the standby provides for automatic extension and if the applicable government regulation or contract does not provide any basis for using Annex A to demand payment because the issuer has given a notice of non-extension.</w:t>
      </w:r>
      <w:r>
        <w:rPr>
          <w:szCs w:val="24"/>
        </w:rPr>
        <w:t xml:space="preserve"> </w:t>
      </w:r>
      <w:r>
        <w:t>It is simpler and more efficient to provide in the applicable regulation or contract that any failure to maintain a sufficient standby entitles the government to payment before the standby terminates either by acceleration of the underlying obligations or by triggering an underlying obligation to cash collateralize any underlying payment obligations that are still contingent or unmatured. Following this approach in the underlying documentation would make it unnecessary to include an Annex B (</w:t>
      </w:r>
      <w:r>
        <w:rPr>
          <w:szCs w:val="24"/>
        </w:rPr>
        <w:t>or to add to Annex A an alternative beneficiary statement in lieu of a separate Annex B)</w:t>
      </w:r>
      <w:r>
        <w:t>.</w:t>
      </w:r>
    </w:p>
    <w:p w14:paraId="277EF9B7" w14:textId="77777777" w:rsidR="0025716F" w:rsidRDefault="0025716F" w:rsidP="0025716F">
      <w:pPr>
        <w:pStyle w:val="EndnoteText"/>
      </w:pPr>
    </w:p>
  </w:endnote>
  <w:endnote w:id="10">
    <w:p w14:paraId="4D3EA5AA" w14:textId="77777777" w:rsidR="0025716F" w:rsidRDefault="0025716F" w:rsidP="0025716F">
      <w:pPr>
        <w:pStyle w:val="EndnoteText"/>
        <w:rPr>
          <w:szCs w:val="24"/>
        </w:rPr>
      </w:pPr>
      <w:r>
        <w:rPr>
          <w:rStyle w:val="EndnoteReference"/>
        </w:rPr>
        <w:endnoteRef/>
      </w:r>
      <w:r>
        <w:t xml:space="preserve">  </w:t>
      </w:r>
      <w:r w:rsidRPr="00CC3AED">
        <w:rPr>
          <w:u w:val="single"/>
        </w:rPr>
        <w:t>Annexes to be complete</w:t>
      </w:r>
      <w:r>
        <w:rPr>
          <w:u w:val="single"/>
        </w:rPr>
        <w:t>d</w:t>
      </w:r>
      <w:r w:rsidRPr="00CC3AED">
        <w:rPr>
          <w:u w:val="single"/>
        </w:rPr>
        <w:t xml:space="preserve"> </w:t>
      </w:r>
      <w:r>
        <w:rPr>
          <w:u w:val="single"/>
        </w:rPr>
        <w:t>as indicated</w:t>
      </w:r>
      <w:r w:rsidRPr="00CC3AED">
        <w:rPr>
          <w:u w:val="single"/>
        </w:rPr>
        <w:t>.</w:t>
      </w:r>
      <w:r>
        <w:t xml:space="preserve"> </w:t>
      </w:r>
      <w:r>
        <w:rPr>
          <w:szCs w:val="24"/>
        </w:rPr>
        <w:t xml:space="preserve">The phrase “completed as indicated” assumes that the annexed form of demand adequately indicates how the beneficiary is to complete it before presenting it. This form includes instructions to complete </w:t>
      </w:r>
      <w:r w:rsidRPr="00D700B8">
        <w:t xml:space="preserve">text in </w:t>
      </w:r>
      <w:r w:rsidRPr="00D700B8">
        <w:rPr>
          <w:b/>
        </w:rPr>
        <w:t>[bold]</w:t>
      </w:r>
      <w:r w:rsidRPr="00D700B8">
        <w:t xml:space="preserve"> </w:t>
      </w:r>
      <w:r>
        <w:rPr>
          <w:szCs w:val="24"/>
        </w:rPr>
        <w:t xml:space="preserve">before issuance </w:t>
      </w:r>
      <w:r>
        <w:t>and instructions for the beneficiary to</w:t>
      </w:r>
      <w:r>
        <w:rPr>
          <w:szCs w:val="24"/>
        </w:rPr>
        <w:t xml:space="preserve"> complete text in </w:t>
      </w:r>
      <w:r>
        <w:t>[</w:t>
      </w:r>
      <w:r w:rsidRPr="00D7708A">
        <w:rPr>
          <w:smallCaps/>
          <w:u w:val="single"/>
        </w:rPr>
        <w:t>all capitals underlined</w:t>
      </w:r>
      <w:r>
        <w:t>] before presentation</w:t>
      </w:r>
      <w:r>
        <w:rPr>
          <w:szCs w:val="24"/>
        </w:rPr>
        <w:t>.</w:t>
      </w:r>
    </w:p>
    <w:p w14:paraId="77664FD5" w14:textId="77777777" w:rsidR="0025716F" w:rsidRDefault="0025716F" w:rsidP="0025716F">
      <w:pPr>
        <w:pStyle w:val="EndnoteText"/>
        <w:rPr>
          <w:szCs w:val="24"/>
        </w:rPr>
      </w:pPr>
    </w:p>
    <w:p w14:paraId="2B119FDB" w14:textId="77777777" w:rsidR="0025716F" w:rsidRDefault="0025716F" w:rsidP="0025716F">
      <w:pPr>
        <w:pStyle w:val="EndnoteText"/>
        <w:rPr>
          <w:szCs w:val="24"/>
        </w:rPr>
      </w:pPr>
      <w:r>
        <w:rPr>
          <w:szCs w:val="24"/>
        </w:rPr>
        <w:t xml:space="preserve">Consistent with ISP98 Rule 4.16 (Demand for Payment), the annexed forms of demand require dating and signing. Neither the standby text nor any annexed demand form purports to permit “purported” signatures, an adjective which obscures the allocation of risks for forged demands under </w:t>
      </w:r>
      <w:r>
        <w:t>UCC § 5-108(</w:t>
      </w:r>
      <w:r>
        <w:t>i)(5) (Issuer’s Rights and Obligations) to the possible disadvantage of the true</w:t>
      </w:r>
      <w:r>
        <w:rPr>
          <w:szCs w:val="24"/>
        </w:rPr>
        <w:t xml:space="preserve"> beneficiary. See </w:t>
      </w:r>
      <w:r>
        <w:t xml:space="preserve">ISP98 </w:t>
      </w:r>
      <w:r>
        <w:rPr>
          <w:szCs w:val="24"/>
        </w:rPr>
        <w:t>Form 1 endnote 10.</w:t>
      </w:r>
    </w:p>
    <w:p w14:paraId="5E2E699A" w14:textId="77777777" w:rsidR="0025716F" w:rsidRDefault="0025716F" w:rsidP="0025716F">
      <w:pPr>
        <w:pStyle w:val="EndnoteText"/>
      </w:pPr>
    </w:p>
  </w:endnote>
  <w:endnote w:id="11">
    <w:p w14:paraId="35961901" w14:textId="77777777" w:rsidR="0025716F" w:rsidRPr="00082386"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vertAlign w:val="superscript"/>
        </w:rPr>
        <w:endnoteRef/>
      </w:r>
      <w:r>
        <w:t xml:space="preserve">  </w:t>
      </w:r>
      <w:r>
        <w:rPr>
          <w:u w:val="single"/>
        </w:rPr>
        <w:t>Manner of p</w:t>
      </w:r>
      <w:r w:rsidRPr="008D0EA1">
        <w:rPr>
          <w:u w:val="single"/>
        </w:rPr>
        <w:t>resentation</w:t>
      </w:r>
      <w:r w:rsidRPr="00EE10B8">
        <w:rPr>
          <w:u w:val="single"/>
        </w:rPr>
        <w:t>.</w:t>
      </w:r>
      <w:r>
        <w:t xml:space="preserve"> </w:t>
      </w:r>
      <w:r>
        <w:rPr>
          <w:color w:val="000000"/>
        </w:rPr>
        <w:t xml:space="preserve">This </w:t>
      </w:r>
      <w:r>
        <w:t xml:space="preserve">ISP98 Form </w:t>
      </w:r>
      <w:r w:rsidRPr="00F25688">
        <w:t>11.1</w:t>
      </w:r>
      <w:r w:rsidRPr="00730AD2">
        <w:t xml:space="preserve"> </w:t>
      </w:r>
      <w:r>
        <w:rPr>
          <w:color w:val="000000"/>
        </w:rPr>
        <w:t>provides for presentation by delivery of documents in a paper form, commonly by courier, as does ISP98 Rule 3.06 (Complying Medium of Presentation) with the exception of a standby to a beneficiary that is a SWIFT participant and that requires only a demand, an exception not typically applicable to a government beneficiary.</w:t>
      </w:r>
    </w:p>
    <w:p w14:paraId="5A4A0FF5"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653069D"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372391">
        <w:t xml:space="preserve">Presentation by telefax is commonly expressly permitted in standbys as an alternative to physical presentation of original paper documents. With telefax presentation a scan of a paper document is transmitted to a specified telephone number </w:t>
      </w:r>
      <w:r w:rsidRPr="00372391">
        <w:rPr>
          <w:color w:val="000000"/>
        </w:rPr>
        <w:t>that is accessible and, preferably, controlled by standby operations' personnel.</w:t>
      </w:r>
      <w:r w:rsidRPr="00372391">
        <w:t xml:space="preserve"> Whether and how standby issuers may permit telefax presentation varies considerably. Express provision in the standby for such presentations is required, but there is no standard text. The following may be considered as a starting point for the development of standby text permitting presentation by telefax: “Presentation of any demand under this Standby may also be made by telefax sent from </w:t>
      </w:r>
      <w:r w:rsidRPr="0032278D">
        <w:rPr>
          <w:b/>
        </w:rPr>
        <w:t>[</w:t>
      </w:r>
      <w:r w:rsidRPr="00372391">
        <w:rPr>
          <w:b/>
        </w:rPr>
        <w:t>Beneficiary's telephone number(s)</w:t>
      </w:r>
      <w:r w:rsidRPr="0032278D">
        <w:rPr>
          <w:b/>
        </w:rPr>
        <w:t>]</w:t>
      </w:r>
      <w:r w:rsidRPr="00372391">
        <w:t xml:space="preserve"> to </w:t>
      </w:r>
      <w:r w:rsidRPr="0032278D">
        <w:rPr>
          <w:b/>
        </w:rPr>
        <w:t>[</w:t>
      </w:r>
      <w:r w:rsidRPr="00372391">
        <w:rPr>
          <w:b/>
        </w:rPr>
        <w:t>Issuer's telephone number(s)</w:t>
      </w:r>
      <w:r w:rsidRPr="0032278D">
        <w:rPr>
          <w:b/>
        </w:rPr>
        <w:t>]</w:t>
      </w:r>
      <w:r w:rsidRPr="00372391">
        <w:t xml:space="preserve"> with a cover sheet marked 'URGENT. FAX PRESENTATION UNDER STANDBY LETTER OF CREDIT </w:t>
      </w:r>
      <w:r w:rsidRPr="0032278D">
        <w:rPr>
          <w:b/>
        </w:rPr>
        <w:t>[</w:t>
      </w:r>
      <w:r w:rsidRPr="00372391">
        <w:rPr>
          <w:b/>
        </w:rPr>
        <w:t>REFERENCE NO.</w:t>
      </w:r>
      <w:r w:rsidRPr="0032278D">
        <w:rPr>
          <w:b/>
        </w:rPr>
        <w:t>]</w:t>
      </w:r>
      <w:r w:rsidRPr="00372391">
        <w:t xml:space="preserve">', and the document(s) received and printed out by Issuer shall be deemed to be original under ISP98 Rule 4.15 (Original, Copy, and Multiple Documents). Beneficiary is requested to telephone Issuer at </w:t>
      </w:r>
      <w:r w:rsidRPr="0032278D">
        <w:rPr>
          <w:b/>
        </w:rPr>
        <w:t>[</w:t>
      </w:r>
      <w:r w:rsidRPr="00372391">
        <w:rPr>
          <w:b/>
        </w:rPr>
        <w:t>telephone number(s)</w:t>
      </w:r>
      <w:r w:rsidRPr="0032278D">
        <w:rPr>
          <w:b/>
        </w:rPr>
        <w:t>]</w:t>
      </w:r>
      <w:r w:rsidRPr="00372391">
        <w:t xml:space="preserve"> and to identify this Standby and Beneficiary's presentation being telefaxed that same business day, as a courtesy and not as a condition limiting Issuer’s obligations.”</w:t>
      </w:r>
      <w:r>
        <w:t xml:space="preserve"> Some standbys add wording on the disposition of any original paper documents, e.g., requesting that they also be presented to the issuer as a courtesy or disclaiming responsibility for examining them whether received before or after an honored fax presentation.</w:t>
      </w:r>
    </w:p>
    <w:p w14:paraId="1A31A25C" w14:textId="77777777" w:rsidR="0025716F"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7D2E576B" w14:textId="77777777" w:rsidR="0025716F" w:rsidRPr="00082386"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82386">
        <w:rPr>
          <w:color w:val="000000"/>
        </w:rPr>
        <w:t xml:space="preserve">Electronic presentation, e.g., by message </w:t>
      </w:r>
      <w:r>
        <w:rPr>
          <w:color w:val="000000"/>
        </w:rPr>
        <w:t xml:space="preserve">with pdf attachment </w:t>
      </w:r>
      <w:r w:rsidRPr="00082386">
        <w:rPr>
          <w:color w:val="000000"/>
        </w:rPr>
        <w:t>to an issuer's e-mail address, is not common. Many issuers do not permit this manner of presentation. Those that do, do so in limited circumstances and on their own individualized terms. ISP98 rules would fa</w:t>
      </w:r>
      <w:r>
        <w:rPr>
          <w:color w:val="000000"/>
        </w:rPr>
        <w:t xml:space="preserve">cilitate the drafting of an </w:t>
      </w:r>
      <w:r w:rsidRPr="00082386">
        <w:rPr>
          <w:color w:val="000000"/>
        </w:rPr>
        <w:t>issuer's individualized clause permitting electronic presentation. See</w:t>
      </w:r>
      <w:r>
        <w:rPr>
          <w:color w:val="000000"/>
        </w:rPr>
        <w:t xml:space="preserve"> ISP98 Rule 1.09(c) (Defined Terms (“Electronic Record”, “Authenticate”, “Electronic Signature”, and “Receipt”)).</w:t>
      </w:r>
    </w:p>
    <w:p w14:paraId="75DCA651"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endnote>
  <w:endnote w:id="12">
    <w:p w14:paraId="2CE57AC5"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vertAlign w:val="superscript"/>
        </w:rPr>
        <w:endnoteRef/>
      </w:r>
      <w:r>
        <w:t xml:space="preserve">  </w:t>
      </w:r>
      <w:r>
        <w:rPr>
          <w:u w:val="single"/>
        </w:rPr>
        <w:t>Place</w:t>
      </w:r>
      <w:r w:rsidRPr="008D0EA1">
        <w:rPr>
          <w:u w:val="single"/>
        </w:rPr>
        <w:t xml:space="preserve"> of </w:t>
      </w:r>
      <w:r>
        <w:rPr>
          <w:u w:val="single"/>
        </w:rPr>
        <w:t>p</w:t>
      </w:r>
      <w:r w:rsidRPr="008D0EA1">
        <w:rPr>
          <w:u w:val="single"/>
        </w:rPr>
        <w:t>resentation</w:t>
      </w:r>
      <w:r w:rsidRPr="00EE10B8">
        <w:rPr>
          <w:u w:val="single"/>
        </w:rPr>
        <w:t>.</w:t>
      </w:r>
      <w:r w:rsidRPr="00CC3AED">
        <w:t xml:space="preserve"> </w:t>
      </w:r>
      <w:r>
        <w:t>ISP98 Rule 3.01 (Complying Presentation under a Standby) provides that a standby should indicate the place, the location within that place, and the person to whom presentation should be made. ISP98 Rule 3.04 (Where and to Whom Complying Presentation Made) provides default rules. The indicated place of presentation is significant in determining whether a complying demand is timely presented.</w:t>
      </w:r>
    </w:p>
    <w:p w14:paraId="7AA3AF74"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48EF7D0"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ISP98 Form 11.1 provides for presentation to the issuer at a specified place, which might be an operations' office of the issuer with a name or address that differs from the name or address given for the issuer at the place of issuance or as the location of the particular branch of the bank that issued the standby. Many issuers limit presentation to one place or only a few places where they maintain standby operations, and in some cases those operations' centers are bank affiliates that specialize in letter of credit operations.</w:t>
      </w:r>
    </w:p>
    <w:p w14:paraId="2BC5DE60"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0F0CD6F"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Bank security measures typically do not permit attempted presentation by in-person delivery to a bank's standby operations' personnel. Standbys typically require that any presentation be addressed to a street address and to the attention of the Standby Letter of Credit Department or the like. These requirements are intended to accommodate presentation of paper documents by mail or courier and to facilitate internal routing of incoming mailed or couriered packages from a mail room at the stated street address to standby operations' personnel. Providing for presentation "at the counters" of the issuer is as outmoded as it is imprecise.</w:t>
      </w:r>
    </w:p>
    <w:p w14:paraId="1105FCE2"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DC3309C" w14:textId="77777777" w:rsidR="0025716F" w:rsidRPr="009C03E8"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This ISP98 Form </w:t>
      </w:r>
      <w:r w:rsidRPr="00F25688">
        <w:t>11.1</w:t>
      </w:r>
      <w:r w:rsidRPr="00674B2B">
        <w:t xml:space="preserve"> </w:t>
      </w:r>
      <w:r>
        <w:t>does not provide for the possibility of presenting at an alternative address of the issuer or of any nominated bank.</w:t>
      </w:r>
    </w:p>
  </w:endnote>
  <w:endnote w:id="13">
    <w:p w14:paraId="342CA797" w14:textId="77777777" w:rsidR="0025716F" w:rsidRDefault="0025716F" w:rsidP="0025716F">
      <w:pPr>
        <w:pStyle w:val="EndnoteText"/>
      </w:pPr>
    </w:p>
    <w:p w14:paraId="30261A4F" w14:textId="77777777" w:rsidR="0025716F" w:rsidRDefault="0025716F" w:rsidP="0025716F">
      <w:pPr>
        <w:pStyle w:val="EndnoteText"/>
      </w:pPr>
      <w:r>
        <w:rPr>
          <w:rStyle w:val="EndnoteReference"/>
        </w:rPr>
        <w:endnoteRef/>
      </w:r>
      <w:r>
        <w:t xml:space="preserve">  </w:t>
      </w:r>
      <w:r>
        <w:rPr>
          <w:u w:val="single"/>
        </w:rPr>
        <w:t>P</w:t>
      </w:r>
      <w:r w:rsidRPr="00893193">
        <w:rPr>
          <w:u w:val="single"/>
        </w:rPr>
        <w:t>resentation</w:t>
      </w:r>
      <w:r>
        <w:rPr>
          <w:u w:val="single"/>
        </w:rPr>
        <w:t xml:space="preserve"> during business hours</w:t>
      </w:r>
      <w:r w:rsidRPr="00EE10B8">
        <w:rPr>
          <w:u w:val="single"/>
        </w:rPr>
        <w:t>.</w:t>
      </w:r>
      <w:r>
        <w:t xml:space="preserve"> ISP98 Rule 3.05 (When Timely Presentation Made) provides that presentation must be made before expiry on the expiration date and that a presentation after business hours is treated as made the next business day. Although Rule 9.04 (Time of Day of Expiration) provides that expiry occurs at the close of business at the place of presentation, this phrase is included in this ISP98 Form </w:t>
      </w:r>
      <w:r w:rsidRPr="00F25688">
        <w:t>11.1</w:t>
      </w:r>
      <w:r w:rsidRPr="00730AD2">
        <w:t xml:space="preserve"> </w:t>
      </w:r>
      <w:r>
        <w:t>for the avoidance of doubt.</w:t>
      </w:r>
    </w:p>
    <w:p w14:paraId="40CC02FE" w14:textId="77777777" w:rsidR="0025716F" w:rsidRPr="00476366" w:rsidRDefault="0025716F" w:rsidP="0025716F">
      <w:pPr>
        <w:pStyle w:val="EndnoteText"/>
      </w:pPr>
    </w:p>
  </w:endnote>
  <w:endnote w:id="14">
    <w:p w14:paraId="6D9BB040" w14:textId="77777777" w:rsidR="0025716F" w:rsidRPr="00397B9B" w:rsidRDefault="0025716F" w:rsidP="0025716F">
      <w:pPr>
        <w:pStyle w:val="EndnoteText"/>
        <w:rPr>
          <w:color w:val="FF0000"/>
        </w:rPr>
      </w:pPr>
      <w:r>
        <w:rPr>
          <w:rStyle w:val="EndnoteReference"/>
        </w:rPr>
        <w:endnoteRef/>
      </w:r>
      <w:r>
        <w:t xml:space="preserve">  </w:t>
      </w:r>
      <w:r w:rsidRPr="002444A8">
        <w:rPr>
          <w:u w:val="single"/>
        </w:rPr>
        <w:t xml:space="preserve">Presentation of </w:t>
      </w:r>
      <w:r>
        <w:rPr>
          <w:u w:val="single"/>
        </w:rPr>
        <w:t>the original s</w:t>
      </w:r>
      <w:r w:rsidRPr="002444A8">
        <w:rPr>
          <w:u w:val="single"/>
        </w:rPr>
        <w:t>tandby</w:t>
      </w:r>
      <w:r>
        <w:rPr>
          <w:u w:val="single"/>
        </w:rPr>
        <w:t xml:space="preserve"> not required</w:t>
      </w:r>
      <w:r w:rsidRPr="00EE10B8">
        <w:rPr>
          <w:u w:val="single"/>
        </w:rPr>
        <w:t>.</w:t>
      </w:r>
      <w:r w:rsidRPr="00EE10B8">
        <w:t xml:space="preserve"> </w:t>
      </w:r>
      <w:r w:rsidRPr="00704976">
        <w:t xml:space="preserve">An issuer's obligation is not </w:t>
      </w:r>
      <w:r>
        <w:t>dependent</w:t>
      </w:r>
      <w:r w:rsidRPr="00704976">
        <w:t xml:space="preserve"> on the beneficiary's holding or present</w:t>
      </w:r>
      <w:r>
        <w:t>ing</w:t>
      </w:r>
      <w:r w:rsidRPr="00704976">
        <w:t xml:space="preserve"> the </w:t>
      </w:r>
      <w:r>
        <w:t xml:space="preserve">“original” </w:t>
      </w:r>
      <w:r w:rsidRPr="00704976">
        <w:t>standby, unless the standby so provides.</w:t>
      </w:r>
      <w:r>
        <w:t xml:space="preserve"> </w:t>
      </w:r>
      <w:r w:rsidRPr="00704976">
        <w:t>See ISP98 Rule 2.03 (Conditions to Issuance).</w:t>
      </w:r>
      <w:r>
        <w:t xml:space="preserve"> This ISP98 Form </w:t>
      </w:r>
      <w:r w:rsidRPr="00F25688">
        <w:t>11.1</w:t>
      </w:r>
      <w:r w:rsidRPr="00730AD2">
        <w:t xml:space="preserve">, </w:t>
      </w:r>
      <w:r>
        <w:t>like m</w:t>
      </w:r>
      <w:r w:rsidRPr="00704976">
        <w:t>ost standbys</w:t>
      </w:r>
      <w:r>
        <w:t>,</w:t>
      </w:r>
      <w:r w:rsidRPr="00704976">
        <w:t xml:space="preserve"> do</w:t>
      </w:r>
      <w:r>
        <w:t>es</w:t>
      </w:r>
      <w:r w:rsidRPr="00704976">
        <w:t xml:space="preserve"> not require presentation of the standby with a payment demand.</w:t>
      </w:r>
      <w:r>
        <w:t xml:space="preserve"> </w:t>
      </w:r>
      <w:r w:rsidRPr="00704976">
        <w:t xml:space="preserve">Any such requirement exposes the </w:t>
      </w:r>
      <w:r>
        <w:t xml:space="preserve">government </w:t>
      </w:r>
      <w:r w:rsidRPr="00704976">
        <w:t xml:space="preserve">beneficiary to the </w:t>
      </w:r>
      <w:r>
        <w:t xml:space="preserve">unnecessary </w:t>
      </w:r>
      <w:r w:rsidRPr="00704976">
        <w:t>risk that a demand may be rightfully refused if the standby is lost or otherwise cannot be timely presented.</w:t>
      </w:r>
      <w:r>
        <w:t xml:space="preserve"> </w:t>
      </w:r>
      <w:r w:rsidRPr="00704976">
        <w:t>It also exposes the issuer to disputes over the issuer's receipt, handling, or return of the standby.</w:t>
      </w:r>
      <w:r>
        <w:t xml:space="preserve"> The typical justification for such a requirement is to deter forged demands, but t</w:t>
      </w:r>
      <w:r w:rsidRPr="00704976">
        <w:t>here are other</w:t>
      </w:r>
      <w:r>
        <w:t xml:space="preserve"> better</w:t>
      </w:r>
      <w:r w:rsidRPr="00704976">
        <w:t xml:space="preserve"> ways to </w:t>
      </w:r>
      <w:r>
        <w:t>deter</w:t>
      </w:r>
      <w:r w:rsidRPr="00704976">
        <w:t xml:space="preserve"> forged demand</w:t>
      </w:r>
      <w:r>
        <w:t>s</w:t>
      </w:r>
      <w:r w:rsidRPr="00704976">
        <w:t xml:space="preserve">, e.g., by providing in the standby that payment must be made to a </w:t>
      </w:r>
      <w:r>
        <w:t>specified bank for credit to a specified government beneficiary's account. See ISP98 Form 1 endnote 9.</w:t>
      </w:r>
    </w:p>
    <w:p w14:paraId="08C56943" w14:textId="77777777" w:rsidR="0025716F" w:rsidRDefault="0025716F" w:rsidP="0025716F">
      <w:pPr>
        <w:pStyle w:val="EndnoteText"/>
      </w:pPr>
    </w:p>
    <w:p w14:paraId="1863D2EF" w14:textId="77777777" w:rsidR="0025716F" w:rsidRDefault="0025716F" w:rsidP="0025716F">
      <w:pPr>
        <w:pStyle w:val="EndnoteText"/>
      </w:pPr>
      <w:r>
        <w:t xml:space="preserve">If despite this recommendation the </w:t>
      </w:r>
      <w:r w:rsidRPr="00CC3AED">
        <w:t>standby text</w:t>
      </w:r>
      <w:r>
        <w:t xml:space="preserve"> is redrafted to require presentation of the standby (e.g., by adding: "and accompanied by the original standby"), then any annexed demand form should add corresponding text. In that event, consideration should also be given to adding a provision in the standby text requiring the reasonable exercise of issuer discretion under ISP98 Rule 3.12 (Original Standby Lost, Stolen, Mutilated, or Destroyed), e.g.</w:t>
      </w:r>
      <w:r w:rsidRPr="00704976">
        <w:t>:</w:t>
      </w:r>
      <w:r>
        <w:t xml:space="preserve"> </w:t>
      </w:r>
      <w:r w:rsidRPr="00704976">
        <w:t>"Issuer undertakes to exercise its discretion under ISP98 Rule 3.12 to waive the requirement to present this Standby (or to replace it) against</w:t>
      </w:r>
      <w:r>
        <w:t xml:space="preserve"> assurances</w:t>
      </w:r>
      <w:r w:rsidRPr="00704976">
        <w:t xml:space="preserve"> and indemnities </w:t>
      </w:r>
      <w:r>
        <w:t xml:space="preserve">that are satisfactory to </w:t>
      </w:r>
      <w:r w:rsidRPr="00704976">
        <w:t xml:space="preserve">Issuer </w:t>
      </w:r>
      <w:r>
        <w:t xml:space="preserve">and made </w:t>
      </w:r>
      <w:r w:rsidRPr="00704976">
        <w:t>in favor of Issuer and Applicant."</w:t>
      </w:r>
      <w:r>
        <w:t xml:space="preserve"> Under this clause</w:t>
      </w:r>
      <w:r w:rsidRPr="00704976">
        <w:t xml:space="preserve"> the issuer </w:t>
      </w:r>
      <w:r>
        <w:t xml:space="preserve">would </w:t>
      </w:r>
      <w:r w:rsidRPr="00704976">
        <w:t xml:space="preserve">determine what is </w:t>
      </w:r>
      <w:r>
        <w:t>satisfactory</w:t>
      </w:r>
      <w:r w:rsidRPr="00704976">
        <w:t>, </w:t>
      </w:r>
      <w:r>
        <w:t xml:space="preserve">but </w:t>
      </w:r>
      <w:r w:rsidRPr="00704976">
        <w:t>the applicant </w:t>
      </w:r>
      <w:r>
        <w:t xml:space="preserve">would </w:t>
      </w:r>
      <w:r w:rsidRPr="00704976">
        <w:t>bear the ultimate risk of payment against a forged demand.</w:t>
      </w:r>
    </w:p>
    <w:p w14:paraId="489FD904" w14:textId="77777777" w:rsidR="0025716F" w:rsidRDefault="0025716F" w:rsidP="0025716F"/>
  </w:endnote>
  <w:endnote w:id="15">
    <w:p w14:paraId="37553F27" w14:textId="77777777" w:rsidR="0025716F" w:rsidRPr="00965E11" w:rsidRDefault="0025716F" w:rsidP="0025716F">
      <w:pPr>
        <w:pStyle w:val="EndnoteText"/>
        <w:rPr>
          <w:color w:val="0070C0"/>
        </w:rPr>
      </w:pPr>
      <w:r>
        <w:rPr>
          <w:rStyle w:val="EndnoteReference"/>
        </w:rPr>
        <w:endnoteRef/>
      </w:r>
      <w:r>
        <w:t xml:space="preserve">  </w:t>
      </w:r>
      <w:r w:rsidRPr="00570A62">
        <w:rPr>
          <w:u w:val="single"/>
        </w:rPr>
        <w:t>Overdrawing</w:t>
      </w:r>
      <w:r w:rsidRPr="00EE10B8">
        <w:rPr>
          <w:u w:val="single"/>
        </w:rPr>
        <w:t>.</w:t>
      </w:r>
      <w:r>
        <w:t xml:space="preserve"> This sentence supersedes ISP98 Rule 3.08(e) (Partial Drawing and Multiple Presentations; </w:t>
      </w:r>
      <w:r>
        <w:t>Amount of Drawings) which provides that a drawing that exceeds the amount available under the standby is discrepant. This superseding sentence requires the issuer to pay the full amount available under the standby against a presentation that would comply but for the overdrawing. Inclusion of this sentence should be reconsidered if the standby requires</w:t>
      </w:r>
      <w:r w:rsidRPr="00384FA0">
        <w:t xml:space="preserve"> presentation </w:t>
      </w:r>
      <w:r>
        <w:t>of</w:t>
      </w:r>
      <w:r w:rsidRPr="00384FA0">
        <w:t xml:space="preserve"> a valuable document that the beneficiary might prefer be returned rather than delivered for less than the amount demanded.</w:t>
      </w:r>
    </w:p>
    <w:p w14:paraId="5C6486B2" w14:textId="77777777" w:rsidR="0025716F" w:rsidRDefault="0025716F" w:rsidP="0025716F">
      <w:pPr>
        <w:pStyle w:val="EndnoteText"/>
      </w:pPr>
    </w:p>
    <w:p w14:paraId="1790381A" w14:textId="77777777" w:rsidR="0025716F" w:rsidRDefault="0025716F" w:rsidP="0025716F">
      <w:pPr>
        <w:pStyle w:val="EndnoteText"/>
      </w:pPr>
      <w:r w:rsidRPr="00BB53C1">
        <w:t xml:space="preserve">This </w:t>
      </w:r>
      <w:r>
        <w:t>sentence could be enhanced by adding</w:t>
      </w:r>
      <w:r w:rsidRPr="00BB53C1">
        <w:t xml:space="preserve"> the phrase “notwithstanding ISP98 Rule 3.08(e)”, but such an addition is </w:t>
      </w:r>
      <w:r>
        <w:t>un</w:t>
      </w:r>
      <w:r w:rsidRPr="00BB53C1">
        <w:t>necessary and m</w:t>
      </w:r>
      <w:r>
        <w:t>ight</w:t>
      </w:r>
      <w:r w:rsidRPr="00BB53C1">
        <w:t xml:space="preserve"> </w:t>
      </w:r>
      <w:r>
        <w:t>put into question</w:t>
      </w:r>
      <w:r w:rsidRPr="00BB53C1" w:rsidDel="0015246F">
        <w:t xml:space="preserve"> </w:t>
      </w:r>
      <w:r w:rsidRPr="00BB53C1">
        <w:t xml:space="preserve">other standby provisions that </w:t>
      </w:r>
      <w:r>
        <w:t>supersede</w:t>
      </w:r>
      <w:r w:rsidRPr="00BB53C1">
        <w:t xml:space="preserve"> other ISP98 rules. This </w:t>
      </w:r>
      <w:r w:rsidRPr="00FF3B91">
        <w:t xml:space="preserve">ISP98 Form </w:t>
      </w:r>
      <w:r>
        <w:t>11</w:t>
      </w:r>
      <w:r w:rsidRPr="00BB53C1">
        <w:t>.1 does not recite</w:t>
      </w:r>
      <w:r>
        <w:t xml:space="preserve"> the</w:t>
      </w:r>
      <w:r w:rsidRPr="00BB53C1">
        <w:t xml:space="preserve"> exclusion or modification of an ISP98 rule where the wording in the standby is “specific and unambiguous”. See ISP98 Rule 1.11(d)(iii) (Interpretation of these Rules).</w:t>
      </w:r>
      <w:r>
        <w:t xml:space="preserve"> </w:t>
      </w:r>
      <w:r w:rsidRPr="00BB53C1">
        <w:t xml:space="preserve">The undertaking “to pay the amount available” is sufficiently specific and unambiguous to </w:t>
      </w:r>
      <w:r>
        <w:t>supersede</w:t>
      </w:r>
      <w:r w:rsidRPr="00BB53C1">
        <w:t xml:space="preserve"> ISP98 Rule 3.08(e) as to the effect of an overdrawing.</w:t>
      </w:r>
    </w:p>
    <w:p w14:paraId="12C50455" w14:textId="77777777" w:rsidR="0025716F" w:rsidRPr="007F114F" w:rsidRDefault="0025716F" w:rsidP="0025716F">
      <w:pPr>
        <w:pStyle w:val="EndnoteText"/>
      </w:pPr>
    </w:p>
  </w:endnote>
  <w:endnote w:id="16">
    <w:p w14:paraId="2B43DDEA" w14:textId="77777777" w:rsidR="0025716F" w:rsidRDefault="0025716F" w:rsidP="0025716F">
      <w:pPr>
        <w:pStyle w:val="EndnoteText"/>
        <w:spacing w:after="240"/>
      </w:pPr>
      <w:r>
        <w:rPr>
          <w:vertAlign w:val="superscript"/>
        </w:rPr>
        <w:endnoteRef/>
      </w:r>
      <w:r>
        <w:t xml:space="preserve">  </w:t>
      </w:r>
      <w:r w:rsidRPr="00715887">
        <w:rPr>
          <w:u w:val="single"/>
        </w:rPr>
        <w:t>Expiration</w:t>
      </w:r>
      <w:r w:rsidRPr="00172F9F">
        <w:t>.</w:t>
      </w:r>
      <w:r>
        <w:t xml:space="preserve"> </w:t>
      </w:r>
      <w:r w:rsidRPr="002959BC">
        <w:t xml:space="preserve">This </w:t>
      </w:r>
      <w:r>
        <w:t xml:space="preserve">ISP98 Form </w:t>
      </w:r>
      <w:r w:rsidRPr="00F25688">
        <w:t>11.1</w:t>
      </w:r>
      <w:r w:rsidRPr="00730AD2">
        <w:t xml:space="preserve"> </w:t>
      </w:r>
      <w:r w:rsidRPr="002959BC">
        <w:t>is based on the common practice of stating a specific calendar date</w:t>
      </w:r>
      <w:r>
        <w:t xml:space="preserve"> for expiry</w:t>
      </w:r>
      <w:r w:rsidRPr="002959BC">
        <w:t>.</w:t>
      </w:r>
      <w:r>
        <w:t xml:space="preserve"> See ISP98 Rule 9.01 (Duration of Standby), UCC § 5-106 (Issuance, Amendment, Cancellation, and Duration), and OCC regulation 12 C.F.R. § 7.1016(b)(1)(iii).</w:t>
      </w:r>
    </w:p>
    <w:p w14:paraId="65A513DA" w14:textId="77777777" w:rsidR="0025716F" w:rsidRDefault="0025716F" w:rsidP="0025716F">
      <w:pPr>
        <w:pStyle w:val="EndnoteText"/>
        <w:spacing w:after="240"/>
        <w:rPr>
          <w:szCs w:val="24"/>
        </w:rPr>
      </w:pPr>
      <w:r w:rsidRPr="002959BC">
        <w:t xml:space="preserve">The stated </w:t>
      </w:r>
      <w:r>
        <w:t xml:space="preserve">expiration </w:t>
      </w:r>
      <w:r w:rsidRPr="002959BC">
        <w:t xml:space="preserve">date should be set sufficiently after the underlying obligation becomes due to allow for </w:t>
      </w:r>
      <w:r>
        <w:t xml:space="preserve">obtaining internal authorization to make a drawing, to satisfy any timing or other requirement for drawing provided in the relevant government regulation or contract, and to make a curative </w:t>
      </w:r>
      <w:r w:rsidRPr="002959BC">
        <w:t xml:space="preserve">drawing after </w:t>
      </w:r>
      <w:r>
        <w:t xml:space="preserve">any </w:t>
      </w:r>
      <w:r w:rsidRPr="002959BC">
        <w:t>refusal of an initial drawing</w:t>
      </w:r>
      <w:r>
        <w:t xml:space="preserve">. </w:t>
      </w:r>
      <w:r w:rsidRPr="002959BC">
        <w:t xml:space="preserve">If payment of the underlying obligation </w:t>
      </w:r>
      <w:r>
        <w:t>may</w:t>
      </w:r>
      <w:r w:rsidRPr="002959BC">
        <w:t xml:space="preserve"> be made outside of the standby, the stated </w:t>
      </w:r>
      <w:r>
        <w:t xml:space="preserve">expiration </w:t>
      </w:r>
      <w:r w:rsidRPr="002959BC">
        <w:t xml:space="preserve">date should be set to allow for drawing after any possible rescission of </w:t>
      </w:r>
      <w:r>
        <w:t>an</w:t>
      </w:r>
      <w:r w:rsidRPr="002959BC">
        <w:t> outside payment</w:t>
      </w:r>
      <w:r>
        <w:t xml:space="preserve"> made by an insolvent payer</w:t>
      </w:r>
      <w:r w:rsidRPr="002959BC">
        <w:t>.</w:t>
      </w:r>
    </w:p>
    <w:p w14:paraId="08F774BB"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expiration date stated in a standby is not necessarily the last day on which a complying presentation may be made under the standby. </w:t>
      </w:r>
      <w:r>
        <w:rPr>
          <w:rStyle w:val="QuickFormat2"/>
        </w:rPr>
        <w:t>ISP98 Rule 3.13 (Expiration Date on a Non-Business Day) automatically extends a weekend expiration date to the next business day. ISP98 Rule 3.14 (Closure on a Business Day and Authorization of Another Reasonable Place for Presentation) extends by at least 30 days an expiration date that occurs on a business day when the issuer is closed for any reason (including force majeure).</w:t>
      </w:r>
    </w:p>
    <w:p w14:paraId="1845D7F1"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A7A0042" w14:textId="77777777" w:rsidR="0025716F" w:rsidRDefault="0025716F" w:rsidP="0025716F">
      <w:r>
        <w:t>ISP98 Rule 3.14 may be restated in standby text, e.g.: "</w:t>
      </w:r>
      <w:r w:rsidRPr="00B04871">
        <w:t xml:space="preserve">If on the last business day for presentation the place for presentation stated in this Standby is for any reason closed and Beneficiary does not make timely presentation because of the closure, then the last day for presentation is automatically extended to the day occurring </w:t>
      </w:r>
      <w:r>
        <w:t>30</w:t>
      </w:r>
      <w:r w:rsidRPr="00B04871">
        <w:t xml:space="preserve"> calendar days after th</w:t>
      </w:r>
      <w:r>
        <w:t>at</w:t>
      </w:r>
      <w:r w:rsidRPr="00B04871">
        <w:t xml:space="preserve"> place for presentation re-opens for business</w:t>
      </w:r>
      <w:r>
        <w:t xml:space="preserve"> or, if earlier, 30 calendar days after Issuer gives Beneficiary a written notice in which Issuer authorizes another reasonable place for presentation and that place is open for business</w:t>
      </w:r>
      <w:r w:rsidRPr="00FF3B91">
        <w:t xml:space="preserve"> </w:t>
      </w:r>
      <w:r>
        <w:t>on the last day for presentation and on each of the preceding 15 business days."</w:t>
      </w:r>
    </w:p>
    <w:p w14:paraId="4568B74C" w14:textId="77777777" w:rsidR="0025716F" w:rsidRPr="00B04871"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D4CB7D9"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B04871">
        <w:t xml:space="preserve">ISP98 Rule 3.14(a) </w:t>
      </w:r>
      <w:r>
        <w:t>does not apply where the issuer is open on the expiration date but closed in the days preceding the expiration date. The above</w:t>
      </w:r>
      <w:r w:rsidRPr="00B04871">
        <w:t xml:space="preserve"> provision </w:t>
      </w:r>
      <w:r>
        <w:t>could be expanded, e.g.: “If on the last business day for presentation or on any of the preceding 15 business days</w:t>
      </w:r>
      <w:r w:rsidR="0076731D">
        <w:t xml:space="preserve"> </w:t>
      </w:r>
      <w:r w:rsidR="0076731D">
        <w:t>. . . .</w:t>
      </w:r>
      <w:r>
        <w:t>”</w:t>
      </w:r>
    </w:p>
    <w:p w14:paraId="6335E67B"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endnote>
  <w:endnote w:id="17">
    <w:p w14:paraId="25D7F70B" w14:textId="77777777" w:rsidR="0025716F" w:rsidRDefault="0025716F" w:rsidP="0025716F">
      <w:pPr>
        <w:pStyle w:val="EndnoteText"/>
        <w:spacing w:after="240"/>
      </w:pPr>
      <w:r>
        <w:rPr>
          <w:rStyle w:val="EndnoteReference"/>
        </w:rPr>
        <w:endnoteRef/>
      </w:r>
      <w:r>
        <w:t xml:space="preserve">  </w:t>
      </w:r>
      <w:r w:rsidRPr="00912402">
        <w:rPr>
          <w:u w:val="single"/>
        </w:rPr>
        <w:t>Automatic extension</w:t>
      </w:r>
      <w:r w:rsidRPr="00EE10B8">
        <w:rPr>
          <w:u w:val="single"/>
        </w:rPr>
        <w:t>.</w:t>
      </w:r>
      <w:r>
        <w:t xml:space="preserve"> This paragraph on automatic extension should be included only in standbys that are outstanding long enough to require automatic extension of the stated expiration date.</w:t>
      </w:r>
    </w:p>
    <w:p w14:paraId="692D2C39" w14:textId="77777777" w:rsidR="0025716F" w:rsidRPr="004F5FAE" w:rsidRDefault="0025716F" w:rsidP="0025716F">
      <w:pPr>
        <w:pStyle w:val="EndnoteText"/>
        <w:spacing w:after="240"/>
        <w:rPr>
          <w:szCs w:val="24"/>
        </w:rPr>
      </w:pPr>
      <w:r>
        <w:t>Automatic extension provisions in standbys have arisen out of regulatory, commercial law, and practical business concerns about indefinite or overlong exposure</w:t>
      </w:r>
      <w:r w:rsidRPr="00082386">
        <w:t xml:space="preserve"> </w:t>
      </w:r>
      <w:r>
        <w:t xml:space="preserve">under bank letters of credit. In addition to safety and soundness considerations, UCC § 5-106 (Issuance, Amendment, Cancellation, and Duration) limits the duration of letters of credit that are indefinite to one year and those that purport to be perpetual to five years. Moreover, prudent banking practices would suggest an annual re-evaluation of the applicant’s credit standing. These considerations have resulted </w:t>
      </w:r>
      <w:r w:rsidRPr="00F25688">
        <w:t>in</w:t>
      </w:r>
      <w:r>
        <w:t xml:space="preserve"> standby provisions that set the expiration date at one year after issuance and then provide for automatic</w:t>
      </w:r>
      <w:r w:rsidRPr="00E67F11">
        <w:t xml:space="preserve"> </w:t>
      </w:r>
      <w:r>
        <w:t xml:space="preserve">one-year extensions, subject to the issuer's giving a notice of non-extension allowing for a drawing before the standby expires. </w:t>
      </w:r>
    </w:p>
    <w:p w14:paraId="05066EA3" w14:textId="77777777" w:rsidR="0025716F" w:rsidRDefault="0025716F" w:rsidP="0025716F">
      <w:pPr>
        <w:pStyle w:val="EndnoteText"/>
        <w:spacing w:after="240"/>
      </w:pPr>
      <w:r>
        <w:rPr>
          <w:szCs w:val="24"/>
        </w:rPr>
        <w:t xml:space="preserve">ISP98 Rule 2.06(a) </w:t>
      </w:r>
      <w:r>
        <w:t xml:space="preserve">(When an Amendment is </w:t>
      </w:r>
      <w:r>
        <w:t xml:space="preserve">Authorised and Binding) </w:t>
      </w:r>
      <w:r>
        <w:rPr>
          <w:szCs w:val="24"/>
        </w:rPr>
        <w:t>makes “automatic amendments” effective without further notification or consent if the automatic amendment is</w:t>
      </w:r>
      <w:r w:rsidRPr="00B96049">
        <w:rPr>
          <w:szCs w:val="24"/>
        </w:rPr>
        <w:t xml:space="preserve"> </w:t>
      </w:r>
      <w:r>
        <w:rPr>
          <w:szCs w:val="24"/>
        </w:rPr>
        <w:t>expressly stated in the standby. Accordingly, it is desirable to include the word “automatic” in any standby clause intended to make an amendment effective based on the terms of the standby and not by obtaining the beneficiary’s consent. It is unnecessary to recite that an automatic extension is “without amendment” or that an automatic extension clause is a “condition”.</w:t>
      </w:r>
    </w:p>
    <w:p w14:paraId="62CF1437" w14:textId="77777777" w:rsidR="0025716F" w:rsidRDefault="0025716F" w:rsidP="0025716F">
      <w:pPr>
        <w:pStyle w:val="EndnoteText"/>
        <w:spacing w:after="240"/>
      </w:pPr>
      <w:r w:rsidRPr="002959BC">
        <w:t xml:space="preserve">This </w:t>
      </w:r>
      <w:r>
        <w:t xml:space="preserve">ISP98 Form </w:t>
      </w:r>
      <w:r w:rsidRPr="00F25688">
        <w:t xml:space="preserve">11.1 </w:t>
      </w:r>
      <w:r w:rsidRPr="00D749D1">
        <w:t>uses t</w:t>
      </w:r>
      <w:r w:rsidRPr="006C4F3B">
        <w:rPr>
          <w:szCs w:val="24"/>
        </w:rPr>
        <w:t xml:space="preserve">he </w:t>
      </w:r>
      <w:r>
        <w:rPr>
          <w:szCs w:val="24"/>
        </w:rPr>
        <w:t>words “extend” and “non-extension”, and not “renew” or “non-renewal” or “reinstate”, to make clear that the intent is to amend, and not replace, the standby and not to affect the amount available.</w:t>
      </w:r>
    </w:p>
    <w:p w14:paraId="3D477A3E" w14:textId="77777777" w:rsidR="0025716F" w:rsidRDefault="0025716F" w:rsidP="0025716F">
      <w:pPr>
        <w:pStyle w:val="EndnoteText"/>
        <w:spacing w:after="240"/>
      </w:pPr>
      <w:r>
        <w:t>The word “evergreen” is popularly used to refer to automatic extension clauses; however, this word cannot substitute for, or usefully supplement, an automatic extension clause. See ISP98 Rule 1.10(c)(ii) (Redundant or Otherwise Undesirable Terms).</w:t>
      </w:r>
    </w:p>
    <w:p w14:paraId="7A296474" w14:textId="77777777" w:rsidR="0025716F" w:rsidRPr="00122C7F" w:rsidRDefault="0025716F" w:rsidP="0025716F">
      <w:pPr>
        <w:pStyle w:val="EndnoteText"/>
        <w:spacing w:after="240"/>
      </w:pPr>
      <w:r>
        <w:t>An automatic extension clause does not render a standby perpetual. Official Comment 4 to UCC § 5-106 (Issuance, Amendment, Cancellation, and Duration) makes clear that an automatically extending letter of credit is not perpetual if it may be terminated in the issuer's discretion by notice to the beneficiary. See also 12 C.F.R. § 7.1016(b)(1)(iii)(B) (terms should permit national bank to terminate the undertaking either on a periodic basis or at will upon either notice or payment to the beneficiary).</w:t>
      </w:r>
    </w:p>
  </w:endnote>
  <w:endnote w:id="18">
    <w:p w14:paraId="20FF9E5E" w14:textId="77777777" w:rsidR="0025716F" w:rsidRPr="00AA544D" w:rsidRDefault="0025716F" w:rsidP="0025716F">
      <w:r>
        <w:rPr>
          <w:rStyle w:val="EndnoteReference"/>
        </w:rPr>
        <w:endnoteRef/>
      </w:r>
      <w:r>
        <w:t xml:space="preserve">  </w:t>
      </w:r>
      <w:r>
        <w:rPr>
          <w:u w:val="single"/>
        </w:rPr>
        <w:t>One year; 3</w:t>
      </w:r>
      <w:r w:rsidRPr="00D51D53">
        <w:rPr>
          <w:u w:val="single"/>
        </w:rPr>
        <w:t>0 days</w:t>
      </w:r>
      <w:r w:rsidRPr="00EE10B8">
        <w:rPr>
          <w:u w:val="single"/>
        </w:rPr>
        <w:t>.</w:t>
      </w:r>
      <w:r>
        <w:t xml:space="preserve"> The period of one year is the standard time frame for successive automatic extensions to facilitate annual credit reviews by U.S. bank issuers of their applicants</w:t>
      </w:r>
      <w:r w:rsidRPr="00372391">
        <w:t>. This sentence sets as the expiration date the same calendar month and date for each succeeding one-year period in accordance with standby practice and ISP98 Rule 9(b) (Timing).</w:t>
      </w:r>
    </w:p>
    <w:p w14:paraId="096B491A" w14:textId="77777777" w:rsidR="0025716F" w:rsidRDefault="0025716F" w:rsidP="0025716F"/>
    <w:p w14:paraId="73E032D3" w14:textId="77777777" w:rsidR="0025716F" w:rsidRPr="008C6EE9" w:rsidRDefault="0025716F" w:rsidP="0025716F">
      <w:r>
        <w:t>A 30-day period for giving or receiving a notice of non-extension is common, but a longer period (e.g., 60 days) may be appropriate. The length of that period is affected by the length of time expected for (</w:t>
      </w:r>
      <w:r>
        <w:t xml:space="preserve">i) the issuer to re-approve the applicant’s credit, (ii) the applicant to replace the standby, and (iii) the government beneficiary to draw as permitted by the standby and the underlying transaction. The </w:t>
      </w:r>
      <w:r w:rsidRPr="008C6EE9">
        <w:t>government's regulation or contract should address requirements for satisfactory replacement. See endnote 37 (Retraction or replacement standby).</w:t>
      </w:r>
    </w:p>
    <w:p w14:paraId="7B0AB452" w14:textId="77777777" w:rsidR="0025716F" w:rsidRPr="008C6EE9" w:rsidRDefault="0025716F" w:rsidP="0025716F"/>
  </w:endnote>
  <w:endnote w:id="19">
    <w:p w14:paraId="64B4AEBD" w14:textId="77777777" w:rsidR="0025716F" w:rsidRDefault="0025716F" w:rsidP="0025716F">
      <w:pPr>
        <w:pStyle w:val="EndnoteText"/>
        <w:rPr>
          <w:b/>
        </w:rPr>
      </w:pPr>
      <w:r w:rsidRPr="00372391">
        <w:rPr>
          <w:rStyle w:val="EndnoteReference"/>
        </w:rPr>
        <w:endnoteRef/>
      </w:r>
      <w:r w:rsidRPr="00372391">
        <w:t xml:space="preserve">  </w:t>
      </w:r>
      <w:r w:rsidRPr="00372391">
        <w:rPr>
          <w:u w:val="single"/>
        </w:rPr>
        <w:t>Retraction of non-extension notice.</w:t>
      </w:r>
      <w:r w:rsidRPr="00372391">
        <w:t xml:space="preserve"> Standby operations' personnel may not receive credit approval for extension before the date required to initiate sending a timely non-extension notice and, as a result, may issue an effective notice of non-extension and later receive credit approval for extension. While </w:t>
      </w:r>
      <w:r>
        <w:t xml:space="preserve">the Annex B demand form includes an optional </w:t>
      </w:r>
      <w:r w:rsidRPr="00372391">
        <w:t>refer</w:t>
      </w:r>
      <w:r>
        <w:t>ence</w:t>
      </w:r>
      <w:r w:rsidRPr="00372391">
        <w:t xml:space="preserve"> to retraction, this </w:t>
      </w:r>
      <w:r>
        <w:t xml:space="preserve">ISP98 </w:t>
      </w:r>
      <w:r w:rsidRPr="00372391">
        <w:t>Form 11.1 does not authorize the issuer to give a notice of retraction. To authorize an effective retraction, the following clause should be considered for insertion in the standby text: “At any time before the next expiration date Issuer may retract its notice of non-extension by giving Beneficiary a written notice of retraction in the same manner as giving notice of non-extension and thereby automatically extend the expiration date." Retraction and replacement are best addressed in the underlying regulation or contract, because it is difficult for standby text to cover all of the variations that may arise, including treatment of any demands made after a notice of non-extension is given.</w:t>
      </w:r>
    </w:p>
    <w:p w14:paraId="02A079BB" w14:textId="77777777" w:rsidR="0025716F" w:rsidRPr="008E6496" w:rsidRDefault="0025716F" w:rsidP="0025716F">
      <w:pPr>
        <w:pStyle w:val="EndnoteText"/>
        <w:rPr>
          <w:b/>
        </w:rPr>
      </w:pPr>
    </w:p>
  </w:endnote>
  <w:endnote w:id="20">
    <w:p w14:paraId="616AB214" w14:textId="77777777" w:rsidR="0025716F" w:rsidRDefault="0025716F" w:rsidP="0025716F">
      <w:r w:rsidRPr="00372391">
        <w:rPr>
          <w:rStyle w:val="EndnoteReference"/>
        </w:rPr>
        <w:endnoteRef/>
      </w:r>
      <w:r w:rsidRPr="00372391">
        <w:t xml:space="preserve">  </w:t>
      </w:r>
      <w:r w:rsidRPr="00372391">
        <w:rPr>
          <w:u w:val="single"/>
        </w:rPr>
        <w:t>Send or receive.</w:t>
      </w:r>
      <w:r w:rsidRPr="00372391">
        <w:t xml:space="preserve"> Automatic extension clauses differ in the extent to which they spell out where and how a notice of non-extension must or may be sent to, or be received by, the beneficiary in order to establish an expiration date that is not subject to further automatic extension. Given the "independent" and formal relationship of an issuer to a beneficiary, there are considerable practical difficulties in determining or proving whether and when a notice has been given by an issuer to a beneficiary. They are multiplied for all concerned if a notice must </w:t>
      </w:r>
      <w:r>
        <w:t>also be given to</w:t>
      </w:r>
      <w:r w:rsidRPr="00372391">
        <w:t xml:space="preserve"> the applicant or other party, as well as the beneficiary.</w:t>
      </w:r>
      <w:r w:rsidRPr="00372391" w:rsidDel="00AA2577">
        <w:t xml:space="preserve"> See ISP98 Form 2 (Model Standby Providing for Extension) endnote 4.</w:t>
      </w:r>
    </w:p>
    <w:p w14:paraId="553E9D7B" w14:textId="77777777" w:rsidR="0025716F" w:rsidRDefault="0025716F" w:rsidP="0025716F"/>
    <w:p w14:paraId="5E2C5DF6" w14:textId="77777777" w:rsidR="0025716F" w:rsidRPr="007169A7" w:rsidRDefault="0025716F" w:rsidP="0025716F">
      <w:r>
        <w:t>S</w:t>
      </w:r>
      <w:r w:rsidRPr="00AA2577">
        <w:t xml:space="preserve">ome courts apply strict compliance concepts to issuer notices to a beneficiary. </w:t>
      </w:r>
      <w:r>
        <w:t>Any clause on giving a non-extension notice should provide for a workable limitation on a standby's duration by the giving of advance notice and should be supplemented by a final expiry date so as to avoid uncertainty as to the duration of the standby and avoid any need for indefinite retention of proof of due expiry.</w:t>
      </w:r>
      <w:r w:rsidRPr="00AA2577" w:rsidDel="00AA2577">
        <w:t xml:space="preserve"> </w:t>
      </w:r>
      <w:r w:rsidRPr="00A218EC" w:rsidDel="00AA2577">
        <w:t xml:space="preserve">This </w:t>
      </w:r>
      <w:r>
        <w:t xml:space="preserve">ISP98 </w:t>
      </w:r>
      <w:r w:rsidRPr="00A218EC" w:rsidDel="00AA2577">
        <w:t xml:space="preserve">Form 11.1 requires that </w:t>
      </w:r>
      <w:r>
        <w:t xml:space="preserve">a non-extension </w:t>
      </w:r>
      <w:r w:rsidRPr="00A218EC" w:rsidDel="00AA2577">
        <w:t xml:space="preserve">notice be </w:t>
      </w:r>
      <w:r>
        <w:t>in writing and given to the beneficiary by means which allow for tracking delivery by mail or courier service</w:t>
      </w:r>
      <w:r w:rsidRPr="00A218EC" w:rsidDel="00AA2577">
        <w:t xml:space="preserve"> to the beneficiary</w:t>
      </w:r>
      <w:r>
        <w:t xml:space="preserve"> 's address as stated in the standby</w:t>
      </w:r>
      <w:r w:rsidRPr="00A218EC" w:rsidDel="00AA2577">
        <w:t xml:space="preserve">. </w:t>
      </w:r>
      <w:r>
        <w:t>This form also provides for an alternative of giving an effective notice by proving actual timely receipt by the beneficiary in the absence of proof of delivery by mail or courier.</w:t>
      </w:r>
      <w:r w:rsidRPr="00AA2577">
        <w:t xml:space="preserve"> </w:t>
      </w:r>
    </w:p>
    <w:p w14:paraId="671D7DE2" w14:textId="77777777" w:rsidR="0025716F" w:rsidRDefault="0025716F" w:rsidP="0025716F"/>
  </w:endnote>
  <w:endnote w:id="21">
    <w:p w14:paraId="717326EF" w14:textId="77777777" w:rsidR="0025716F" w:rsidRPr="008C6EE9" w:rsidRDefault="0025716F" w:rsidP="0025716F">
      <w:pPr>
        <w:pStyle w:val="EndnoteText"/>
      </w:pPr>
      <w:r>
        <w:rPr>
          <w:rStyle w:val="EndnoteReference"/>
        </w:rPr>
        <w:endnoteRef/>
      </w:r>
      <w:r>
        <w:t xml:space="preserve">  </w:t>
      </w:r>
      <w:r w:rsidRPr="006C6648">
        <w:rPr>
          <w:u w:val="single"/>
        </w:rPr>
        <w:t>Final expiration date</w:t>
      </w:r>
      <w:r w:rsidRPr="00EE10B8">
        <w:rPr>
          <w:u w:val="single"/>
        </w:rPr>
        <w:t>.</w:t>
      </w:r>
      <w:r>
        <w:t xml:space="preserve"> If a standby provides for automatic extensions, then an end date for automatic extensions, even if it is set many year</w:t>
      </w:r>
      <w:r w:rsidRPr="00CE2970">
        <w:t xml:space="preserve">s in the future, is </w:t>
      </w:r>
      <w:r>
        <w:t xml:space="preserve">highly </w:t>
      </w:r>
      <w:r w:rsidRPr="00CE2970">
        <w:t>desirable</w:t>
      </w:r>
      <w:r>
        <w:t>. Such a final date is important</w:t>
      </w:r>
      <w:r w:rsidRPr="00CE2970">
        <w:t xml:space="preserve"> for </w:t>
      </w:r>
      <w:r w:rsidRPr="008C6EE9">
        <w:t xml:space="preserve">bank safety and soundness reasons, as well as </w:t>
      </w:r>
      <w:r w:rsidRPr="008C6EE9">
        <w:t>issuer's and confirmer’s record-keeping purposes, particularly to avoid having to retain indefinitely proof that a standby was terminated by expiration following an effective notification of non-extension (or was honored or otherwise reduced to zero).</w:t>
      </w:r>
    </w:p>
    <w:p w14:paraId="69A984E0" w14:textId="77777777" w:rsidR="0025716F" w:rsidRPr="008C6EE9" w:rsidRDefault="0025716F" w:rsidP="0025716F">
      <w:pPr>
        <w:pStyle w:val="EndnoteText"/>
      </w:pPr>
    </w:p>
    <w:p w14:paraId="275B6E80" w14:textId="77777777" w:rsidR="0025716F" w:rsidRPr="008C6EE9" w:rsidRDefault="0025716F" w:rsidP="0025716F">
      <w:pPr>
        <w:pStyle w:val="EndnoteText"/>
      </w:pPr>
      <w:r w:rsidRPr="008C6EE9">
        <w:t xml:space="preserve">This </w:t>
      </w:r>
      <w:r>
        <w:t xml:space="preserve">ISP98 </w:t>
      </w:r>
      <w:r w:rsidRPr="00372391">
        <w:t>Form 11.1</w:t>
      </w:r>
      <w:r w:rsidRPr="008C6EE9">
        <w:t xml:space="preserve"> suggests a final expiration date set five years after standby issuance based on the five-year limitation on "perpetual" letters of credit in UCC § 5-106(d) (Issuance, Amendment, Cancellation, and Duration) discussed in endnote 17</w:t>
      </w:r>
      <w:r w:rsidRPr="008C6EE9">
        <w:rPr>
          <w:color w:val="FF0000"/>
        </w:rPr>
        <w:t xml:space="preserve"> </w:t>
      </w:r>
      <w:r w:rsidRPr="008C6EE9">
        <w:t>(Automatic extension).</w:t>
      </w:r>
    </w:p>
    <w:p w14:paraId="79AAF844" w14:textId="77777777" w:rsidR="0025716F" w:rsidRPr="008C6EE9" w:rsidRDefault="0025716F" w:rsidP="0025716F">
      <w:pPr>
        <w:pStyle w:val="EndnoteText"/>
      </w:pPr>
    </w:p>
    <w:p w14:paraId="2F034BC1" w14:textId="77777777" w:rsidR="0025716F" w:rsidRPr="008C6EE9" w:rsidRDefault="0025716F" w:rsidP="0025716F">
      <w:pPr>
        <w:pStyle w:val="EndnoteText"/>
      </w:pPr>
      <w:r w:rsidRPr="008C6EE9">
        <w:t>Assuming that the underlying government regulation or contract provides that a required standby must remain outstanding as long as the underlying obligations are outstanding and that imminent expiry will entitle the beneficiary to claim payment before expiry (see endnote 8 (Annexed form of payment demand)), the government beneficiary would have sufficient leverage to obtain either a timely extension of the final expiration date or payment before expiry. The final expiration date of the standby c</w:t>
      </w:r>
      <w:r>
        <w:t xml:space="preserve">an always be extended by </w:t>
      </w:r>
      <w:r w:rsidRPr="008C6EE9">
        <w:t>amend</w:t>
      </w:r>
      <w:r>
        <w:t>ment</w:t>
      </w:r>
      <w:r w:rsidRPr="008C6EE9">
        <w:t xml:space="preserve"> in the usual way</w:t>
      </w:r>
      <w:r>
        <w:t>, i.e.,</w:t>
      </w:r>
      <w:r w:rsidRPr="008C6EE9">
        <w:t xml:space="preserve"> by the issuer's issuance of an amendment that satisfies the signed writing requirement of UCC § 5-104 (Formal Requirements) </w:t>
      </w:r>
      <w:r>
        <w:t>to which the</w:t>
      </w:r>
      <w:r w:rsidRPr="008C6EE9">
        <w:t xml:space="preserve"> beneficiary consent</w:t>
      </w:r>
      <w:r>
        <w:t>s</w:t>
      </w:r>
      <w:r w:rsidRPr="008C6EE9">
        <w:t xml:space="preserve"> </w:t>
      </w:r>
      <w:r>
        <w:t xml:space="preserve">as </w:t>
      </w:r>
      <w:r w:rsidRPr="008C6EE9">
        <w:t>require</w:t>
      </w:r>
      <w:r>
        <w:t>d by</w:t>
      </w:r>
      <w:r w:rsidRPr="008C6EE9">
        <w:t xml:space="preserve"> ISP98 Rule 2.07 and UCC § 5-106(d).</w:t>
      </w:r>
    </w:p>
    <w:p w14:paraId="2C7DF91D" w14:textId="77777777" w:rsidR="0025716F" w:rsidRPr="008C6EE9" w:rsidRDefault="0025716F" w:rsidP="0025716F">
      <w:pPr>
        <w:pStyle w:val="EndnoteText"/>
      </w:pPr>
    </w:p>
  </w:endnote>
  <w:endnote w:id="22">
    <w:p w14:paraId="77CAAABE" w14:textId="77777777" w:rsidR="0025716F" w:rsidRPr="008C6EE9" w:rsidRDefault="0025716F" w:rsidP="0025716F">
      <w:pPr>
        <w:pStyle w:val="EndnoteText"/>
      </w:pPr>
      <w:r w:rsidRPr="008C6EE9">
        <w:rPr>
          <w:rStyle w:val="EndnoteReference"/>
        </w:rPr>
        <w:endnoteRef/>
      </w:r>
      <w:r w:rsidRPr="008C6EE9">
        <w:t xml:space="preserve">  </w:t>
      </w:r>
      <w:r w:rsidRPr="008C6EE9">
        <w:rPr>
          <w:u w:val="single"/>
        </w:rPr>
        <w:t>Three days to examine and pay a presentation.</w:t>
      </w:r>
      <w:r w:rsidRPr="008C6EE9">
        <w:t xml:space="preserve"> ISP98 Rules 2.01(c) (Undertaking to </w:t>
      </w:r>
      <w:r w:rsidRPr="008C6EE9">
        <w:t xml:space="preserve">Honour by Issuer and Any Confirmer to Beneficiary) and 5.01 (Timely Notice of Dishonour) provide for the time an issuer has to honor or dishonor and include a </w:t>
      </w:r>
      <w:r w:rsidRPr="008C6EE9">
        <w:t>safe-harbor of three business days after presentation. That three-day period begins on the business day following the business day of presentation. This standby text converts that three-day safe harbor period in ISP98 into a timing requirement for payment of a complying presentation. This standby text would supersede the ISP98 rule, and both would supersede the "reasonable time" provision in UCC § 5-108(b) (Issuer's Rights and Obligations).</w:t>
      </w:r>
    </w:p>
    <w:p w14:paraId="350539BA" w14:textId="77777777" w:rsidR="0025716F" w:rsidRPr="008C6EE9" w:rsidRDefault="0025716F" w:rsidP="0025716F">
      <w:pPr>
        <w:pStyle w:val="EndnoteText"/>
      </w:pPr>
    </w:p>
  </w:endnote>
  <w:endnote w:id="23">
    <w:p w14:paraId="24847468"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8C6EE9">
        <w:rPr>
          <w:rStyle w:val="EndnoteReference"/>
        </w:rPr>
        <w:endnoteRef/>
      </w:r>
      <w:r w:rsidRPr="008C6EE9">
        <w:t xml:space="preserve">  </w:t>
      </w:r>
      <w:r w:rsidRPr="008C6EE9">
        <w:rPr>
          <w:u w:val="single"/>
        </w:rPr>
        <w:t>Place and method of payment.</w:t>
      </w:r>
      <w:r w:rsidRPr="008C6EE9">
        <w:t xml:space="preserve"> If a standby does not state an exclusive place or method of payment, then an issuer may voluntarily follow the presenter’s request. See ISP98 Rule 5.08 (Cover Instructions/Transmittal Letter). Annexes A and B in this ISP98 Form 11.1 include a provision to be completed by the beneficiary to request payment by wire transfer. This provision requires that the beneficiary's demand for payment identify the beneficiary's bank and the beneficiary's account to be credited by that bank. (Under UCC § 4A-406 acceptance by the beneficiary's bank of a funds transfer for credit to the beneficiary's account satisfies the issuer's payment obligation.) See endnote 33 (Request for wire transfer to beneficiary's account), which notes that a request to pay an entity other than the beneficiary is an attempt to assign</w:t>
      </w:r>
      <w:r>
        <w:t xml:space="preserve"> proceeds.</w:t>
      </w:r>
    </w:p>
    <w:p w14:paraId="08727979"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AAAD992"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Including the method of payment in the text of a standby when issued may deter forged beneficiary demands, as well as avoid delays resulting from the issuer’s receipt of an inadequate request as to the method of payment. If payment by wire transfer is desired, the following standby text may be substituted (and completed before the standby is issued): “Payment shall be made by wire transfer to an account of Beneficiary </w:t>
      </w:r>
      <w:r w:rsidRPr="003B7284">
        <w:t>as follows</w:t>
      </w:r>
      <w:r>
        <w:t xml:space="preserve">: </w:t>
      </w:r>
      <w:r w:rsidRPr="002B33D0">
        <w:rPr>
          <w:b/>
        </w:rPr>
        <w:t>[</w:t>
      </w:r>
      <w:r w:rsidRPr="0055020A">
        <w:rPr>
          <w:b/>
        </w:rPr>
        <w:t>name, address, and routing</w:t>
      </w:r>
      <w:r>
        <w:rPr>
          <w:b/>
        </w:rPr>
        <w:t xml:space="preserve"> </w:t>
      </w:r>
      <w:r w:rsidRPr="0055020A">
        <w:rPr>
          <w:b/>
        </w:rPr>
        <w:t>number of Beneficiary’s bank, and name and number of Beneficiary’s account</w:t>
      </w:r>
      <w:r>
        <w:rPr>
          <w:b/>
        </w:rPr>
        <w:t>]</w:t>
      </w:r>
      <w:r>
        <w:t xml:space="preserve"> </w:t>
      </w:r>
      <w:r w:rsidRPr="0056161D">
        <w:t>or to such other bank account of Beneficiary as Beneficiary may duly request of Issuer”.</w:t>
      </w:r>
      <w:r w:rsidRPr="00E67F11">
        <w:t xml:space="preserve"> </w:t>
      </w:r>
      <w:r>
        <w:t xml:space="preserve">If payment by check is desired, the following standby text may be substituted: “Payment shall be made by Issuer’s </w:t>
      </w:r>
      <w:r w:rsidRPr="001830A4">
        <w:t xml:space="preserve">check payable to Beneficiary </w:t>
      </w:r>
      <w:r>
        <w:t>sent</w:t>
      </w:r>
      <w:r w:rsidRPr="001830A4">
        <w:t xml:space="preserve"> to Benef</w:t>
      </w:r>
      <w:r>
        <w:t>iciary’s above-stated address by nationally recognized overnight courier.”</w:t>
      </w:r>
    </w:p>
    <w:p w14:paraId="77697BDF"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4C1FEF1" w14:textId="77777777" w:rsidR="0025716F" w:rsidRDefault="0025716F" w:rsidP="0025716F">
      <w:pPr>
        <w:pStyle w:val="EndnoteText"/>
        <w:rPr>
          <w:szCs w:val="24"/>
        </w:rPr>
      </w:pPr>
      <w:r>
        <w:rPr>
          <w:szCs w:val="24"/>
        </w:rPr>
        <w:t>If an assignment of proceeds is contemplated, one way to provide for it and to limit the issuer’s discretion to decline to acknowledge it would be to add to the standby text here: “</w:t>
      </w:r>
      <w:r>
        <w:rPr>
          <w:iCs/>
          <w:szCs w:val="24"/>
        </w:rPr>
        <w:t>or of Beneficiary’s assignee of proceeds identified in Beneficiary’s demand with the assignee’s name and address, the name and routing number of the assignee’s bank in the United States, and the name and number of the assignee’s account to be credited. Issuer shall acknowledge any such request for an assignment of proceeds, subject only to compliance with mandatory applicable law.</w:t>
      </w:r>
      <w:r>
        <w:rPr>
          <w:szCs w:val="24"/>
        </w:rPr>
        <w:t xml:space="preserve">” This additional standby text, with a corresponding addition in Annex A (and in any other form of assignable payment demand) would constitute the issuer’s advance acknowledgement of a possible future assignment of proceeds to an assignee adequately identified in a beneficiary's complying demand directing payment to the beneficiary's named assignee. Accordingly, the issuer (as well as the government beneficiary) might want to include a beneficiary statement that, e.g., the assignee will be using the standby proceeds for a purpose required or permitted by the underlying contract or regulation or </w:t>
      </w:r>
      <w:r>
        <w:t>will be holding proceeds as a trustee,</w:t>
      </w:r>
      <w:r w:rsidRPr="00E50FC4">
        <w:t xml:space="preserve"> </w:t>
      </w:r>
      <w:r>
        <w:t>custodian, or the like representing one or more third parties with government recognized claims against the applicant. See ISP98 Rule 6.08 (Conditions to Acknowledgement of Assignment of Proceeds), listing conditions that an issuer might consider before agreeing in advance to acknowledge an assignment of standby proceeds.</w:t>
      </w:r>
    </w:p>
    <w:p w14:paraId="415E30CD"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5830CBA"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 issuer’s response to a beneficiary's request may be affected by regulatory requirements limiting wire transfers to a permissible financial institution for credit to a permissible account in a permissible country. No matter what a standby, demand form, or separate request for routing payment may state, applicable law, e.g., a court or government order, may block payment.</w:t>
      </w:r>
    </w:p>
    <w:p w14:paraId="1F8C16C3" w14:textId="77777777" w:rsidR="0025716F" w:rsidRPr="007169A7"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C51EC7D" w14:textId="77777777" w:rsidR="0025716F" w:rsidRPr="007169A7"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72391">
        <w:t>Issuers rarely undertake to send an advice of payment to beneficiaries. In the unusual case where beneficiaries lack access to reports that their requested wire transfers were received and credited by their banks, the following clause might be added: “A notice of such payment shall be sent to Beneficiary’s above-stated address.”</w:t>
      </w:r>
    </w:p>
    <w:p w14:paraId="4DEA5359" w14:textId="77777777" w:rsidR="0025716F" w:rsidRDefault="0025716F" w:rsidP="0025716F">
      <w:pPr>
        <w:pStyle w:val="EndnoteText"/>
      </w:pPr>
    </w:p>
  </w:endnote>
  <w:endnote w:id="24">
    <w:p w14:paraId="318C524D"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Style w:val="EndnoteReference"/>
        </w:rPr>
        <w:endnoteRef/>
      </w:r>
      <w:r w:rsidR="002A35E5">
        <w:t xml:space="preserve">  </w:t>
      </w:r>
      <w:r w:rsidRPr="00355059">
        <w:rPr>
          <w:u w:val="single"/>
        </w:rPr>
        <w:t>Inc</w:t>
      </w:r>
      <w:r>
        <w:rPr>
          <w:u w:val="single"/>
        </w:rPr>
        <w:t>orporation of ISP98; optional choice of law and</w:t>
      </w:r>
      <w:r w:rsidRPr="00BD5E12">
        <w:rPr>
          <w:u w:val="single"/>
        </w:rPr>
        <w:t xml:space="preserve"> </w:t>
      </w:r>
      <w:r>
        <w:rPr>
          <w:u w:val="single"/>
        </w:rPr>
        <w:t>forum</w:t>
      </w:r>
      <w:r w:rsidRPr="00EE10B8">
        <w:rPr>
          <w:u w:val="single"/>
        </w:rPr>
        <w:t>.</w:t>
      </w:r>
      <w:r>
        <w:t xml:space="preserve"> UCC § 5-116(c) (Choice of Law and Forum) provides that incorporated “rules of custom or practice” will govern an issuer's liability and will supersede conflicting UCC Article 5 provisions, except for the few that are non-variable under UCC § 5-103(c) (Scope). Neither ISP98, which postdates UCC Article 5, nor the standby text provided in this ISP98 Form </w:t>
      </w:r>
      <w:r w:rsidRPr="00F25688">
        <w:t>11.1</w:t>
      </w:r>
      <w:r w:rsidRPr="00372391">
        <w:t xml:space="preserve">, </w:t>
      </w:r>
      <w:r>
        <w:t>including endnotes, conflicts with any of the non-variable UCC provisions.</w:t>
      </w:r>
    </w:p>
    <w:p w14:paraId="6F3E2D0F"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F539787" w14:textId="77777777" w:rsidR="0025716F" w:rsidRPr="00682FA6"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UCC § 5-116 expressly refers to the Uniform Customs and Practice for Documentary Credits ("UCP") as an example of incorporated practice rules. Before 1998 many domestic standbys were issued subject to a version of the UCP. Many government standbys are still issued subject to UCP500 or UCP600 because government agencies have been slow to update their forms, i.e., to recognize the superiority of UCP600 over UCP500 and of ISP98 over both UCP500 and UCP600 as applied to standbys.</w:t>
      </w:r>
      <w:r w:rsidRPr="00FE15C8">
        <w:t xml:space="preserve"> </w:t>
      </w:r>
      <w:r>
        <w:t xml:space="preserve">This ISP98 Form </w:t>
      </w:r>
      <w:r w:rsidRPr="00F25688">
        <w:t>11.1</w:t>
      </w:r>
      <w:r w:rsidRPr="00730AD2">
        <w:t xml:space="preserve"> </w:t>
      </w:r>
      <w:r>
        <w:t xml:space="preserve">could be adapted for standbys to be issued subject to UCP, with particular attention paid to the UCP's articles on force majeure closure and installment drawings and on the treatment of conflicting data in a presentation. </w:t>
      </w:r>
      <w:r w:rsidRPr="00372391">
        <w:t>This form could also be adapted for standbys to be issued without incorporating any published practice rules, with the effect of obligating a U.S. bank issuer to observe standard standby practice as well as the specific gap-filling provisions of UCC § 5-108 (Issuer’s Rights and Obligations) on compliance, preclusion, and non-documentary conditions. These endnotes do not further address adapting this form for U.S. government standbys issued subject to other practice rules or no practice rules.</w:t>
      </w:r>
    </w:p>
    <w:p w14:paraId="04E8F249"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A37EA2"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This ISP98 Form 11.1 does not include a choice of law or forum clause, relying on UCC § 5-116(b) to apply UCC Article 5 as enacted in the state where the issuer is located. Many standbys issued by U.S. banks to U.S. beneficiaries are silent on applicable law and forum.</w:t>
      </w:r>
    </w:p>
    <w:p w14:paraId="563DFBD2"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F28194"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t>Those standbys issued by U.S. banks that do choose law typically restate UCC § 5-116, e.g.: "This standby is issued subject to ISP98 and, as to matters not covered by ISP98,</w:t>
      </w:r>
      <w:r>
        <w:rPr>
          <w:color w:val="000000"/>
        </w:rPr>
        <w:t xml:space="preserve"> is governed by the law of </w:t>
      </w:r>
      <w:r w:rsidRPr="0032278D">
        <w:rPr>
          <w:b/>
          <w:color w:val="000000"/>
        </w:rPr>
        <w:t>[</w:t>
      </w:r>
      <w:r w:rsidRPr="00CC3AED">
        <w:rPr>
          <w:b/>
          <w:color w:val="000000"/>
        </w:rPr>
        <w:t>name of the state where the issuer is located</w:t>
      </w:r>
      <w:r w:rsidRPr="0032278D">
        <w:rPr>
          <w:b/>
          <w:color w:val="000000"/>
        </w:rPr>
        <w:t>]</w:t>
      </w:r>
      <w:r>
        <w:rPr>
          <w:color w:val="000000"/>
        </w:rPr>
        <w:t xml:space="preserve">." </w:t>
      </w:r>
      <w:r>
        <w:t xml:space="preserve">A common addition is: "and applicable federal law". </w:t>
      </w:r>
      <w:r>
        <w:rPr>
          <w:color w:val="000000"/>
        </w:rPr>
        <w:t xml:space="preserve">There is no need to exclude any state's conflict-of-laws rules; </w:t>
      </w:r>
      <w:r>
        <w:t>UCC § 5-116(a) as enacted in every state makes the choice of law in a letter of credit absolutely enforceable.</w:t>
      </w:r>
    </w:p>
    <w:p w14:paraId="4C61DFE2"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14:paraId="61D6C820"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t xml:space="preserve">If the standby also includes a forum clause, it typically refers to the same state as that chosen as applicable law, e.g.: "The courts located in </w:t>
      </w:r>
      <w:r w:rsidRPr="0032278D">
        <w:rPr>
          <w:b/>
          <w:color w:val="000000"/>
        </w:rPr>
        <w:t>[</w:t>
      </w:r>
      <w:r w:rsidRPr="00CC3AED">
        <w:rPr>
          <w:b/>
          <w:color w:val="000000"/>
        </w:rPr>
        <w:t>state</w:t>
      </w:r>
      <w:r w:rsidRPr="0032278D">
        <w:rPr>
          <w:b/>
          <w:color w:val="000000"/>
        </w:rPr>
        <w:t>]</w:t>
      </w:r>
      <w:r>
        <w:rPr>
          <w:color w:val="000000"/>
        </w:rPr>
        <w:t xml:space="preserve"> shall have exclusive jurisdiction over any action to enforce Issuer's obligations under this Standby." </w:t>
      </w:r>
      <w:r>
        <w:t>UCC § 5-116(e) as enacted in every state makes the choice of forum in a letter of credit absolutely enforceable.</w:t>
      </w:r>
    </w:p>
    <w:p w14:paraId="07C86A77"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A90DDB" w14:textId="77777777" w:rsidR="0025716F" w:rsidRPr="003D3198"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D3198">
        <w:t xml:space="preserve">A government beneficiary should consider not only its preferences but also the preferences of otherwise acceptable banks that may resist a choice-of-law or forum clause that chooses a state that has enacted a materially varied version of UCC Article 5 or that has problematic letter of credit case law. Some banks will refuse to issue standbys under such legal regimes, prejudicing applicants' abilities to obtain cost-effective standbys from the bank or banks with which they maintain credit lines and government beneficiaries’ abilities to obtain standbys from banks with operational expertise. Some banks will </w:t>
      </w:r>
      <w:r>
        <w:t>issue standbys subject to the law of one of only</w:t>
      </w:r>
      <w:r w:rsidRPr="003D3198">
        <w:t xml:space="preserve"> a few approved states.</w:t>
      </w:r>
    </w:p>
    <w:p w14:paraId="26854DFF"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30DF565"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Although state variations in the adoption of UCC Article 5 are relatively few and generally concern remedy issues, w</w:t>
      </w:r>
      <w:r w:rsidRPr="009709C8">
        <w:t>h</w:t>
      </w:r>
      <w:r>
        <w:t>enever</w:t>
      </w:r>
      <w:r w:rsidRPr="009709C8">
        <w:t xml:space="preserve"> </w:t>
      </w:r>
      <w:r>
        <w:t>UCC Article 5 in</w:t>
      </w:r>
      <w:r w:rsidRPr="009709C8">
        <w:t xml:space="preserve"> </w:t>
      </w:r>
      <w:r>
        <w:t>a particular</w:t>
      </w:r>
      <w:r w:rsidRPr="009709C8">
        <w:t xml:space="preserve"> state is at issue, </w:t>
      </w:r>
      <w:r>
        <w:t xml:space="preserve">consideration should be </w:t>
      </w:r>
      <w:r w:rsidRPr="008C6EE9">
        <w:t>given to the possibility that there may be a relevant state variation in UCC Article 5. See endnote 38 (References to UCC Article 5).</w:t>
      </w:r>
      <w:r>
        <w:t xml:space="preserve"> Material state variations of UCC Article 5 are noted in </w:t>
      </w:r>
      <w:r w:rsidRPr="00C656A6">
        <w:rPr>
          <w:i/>
        </w:rPr>
        <w:t>LC Rules &amp; Laws</w:t>
      </w:r>
      <w:r>
        <w:t>.</w:t>
      </w:r>
    </w:p>
    <w:p w14:paraId="298C01A7" w14:textId="77777777" w:rsidR="0025716F" w:rsidRDefault="0025716F" w:rsidP="00257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2834F6" w14:textId="77777777" w:rsidR="0025716F" w:rsidRDefault="0025716F" w:rsidP="0025716F">
      <w:r>
        <w:t>A standby constitutes the obligations of its issuer. Accordingly, a choice-of-law or forum clause would not necessarily apply to the obligations of a nominated bank and particularly a confirmer, which, in the case of a U.S. bank confirmer would be treated as the issuer of a parallel independent undertaking from a state that may be different from the standby issuer's state.</w:t>
      </w:r>
    </w:p>
    <w:p w14:paraId="5084C4A4" w14:textId="77777777" w:rsidR="0025716F" w:rsidRPr="009709C8" w:rsidRDefault="0025716F" w:rsidP="0025716F">
      <w:pPr>
        <w:pStyle w:val="EndnoteText"/>
      </w:pPr>
    </w:p>
  </w:endnote>
  <w:endnote w:id="25">
    <w:p w14:paraId="1078AA69" w14:textId="77777777" w:rsidR="0025716F" w:rsidRDefault="0025716F" w:rsidP="0025716F">
      <w:pPr>
        <w:pStyle w:val="EndnoteText"/>
      </w:pPr>
      <w:r w:rsidRPr="00372391">
        <w:rPr>
          <w:rStyle w:val="EndnoteReference"/>
        </w:rPr>
        <w:endnoteRef/>
      </w:r>
      <w:r w:rsidRPr="00372391">
        <w:t xml:space="preserve">  </w:t>
      </w:r>
      <w:r w:rsidRPr="00372391">
        <w:rPr>
          <w:u w:val="single"/>
        </w:rPr>
        <w:t>Charges and fees for issuance, advice, and confirmation.</w:t>
      </w:r>
      <w:r w:rsidRPr="00372391">
        <w:t xml:space="preserve"> The obligations of an issuer (and confirmer) to honor a complying demand do not allow for deduction or delay unless the standby otherwise states or applicable law otherwise mandates.</w:t>
      </w:r>
      <w:r w:rsidRPr="00AA2577">
        <w:t xml:space="preserve"> </w:t>
      </w:r>
      <w:r w:rsidRPr="00372391">
        <w:t>ISP98 Rule 8 (Reimbursement Obligations) obligates applicants to reimburse issuers and obligates issuers to reimburse nominated banks for their fees and charges; it imposes no such obligations on beneficiaries. Accordingly, this paragraph is included for comfort.</w:t>
      </w:r>
    </w:p>
    <w:p w14:paraId="002E4807" w14:textId="77777777" w:rsidR="0025716F" w:rsidRDefault="0025716F" w:rsidP="0025716F">
      <w:pPr>
        <w:pStyle w:val="EndnoteText"/>
      </w:pPr>
    </w:p>
    <w:p w14:paraId="0A8DEBC5" w14:textId="77777777" w:rsidR="0025716F" w:rsidRDefault="0025716F" w:rsidP="0025716F">
      <w:pPr>
        <w:pStyle w:val="EndnoteText"/>
      </w:pPr>
      <w:r>
        <w:t xml:space="preserve">This ISP98 </w:t>
      </w:r>
      <w:r w:rsidRPr="007F114F">
        <w:t xml:space="preserve">Form </w:t>
      </w:r>
      <w:r w:rsidRPr="00F25688">
        <w:t xml:space="preserve">11.1 </w:t>
      </w:r>
      <w:r>
        <w:t xml:space="preserve">does not authorize another person to advise, receive presentation, give value, or confirm. The optional sentence referring to the fees and charges of any </w:t>
      </w:r>
      <w:r w:rsidRPr="008C6EE9">
        <w:t>such "nominated person" should be included only if the standby nominates another to act. See endnote 6 (Nomination) and</w:t>
      </w:r>
      <w:r>
        <w:t xml:space="preserve"> ISP98 Rule 2.04 (Nomination).</w:t>
      </w:r>
    </w:p>
    <w:p w14:paraId="019A9307" w14:textId="77777777" w:rsidR="0025716F" w:rsidRDefault="0025716F" w:rsidP="0025716F">
      <w:pPr>
        <w:pStyle w:val="EndnoteText"/>
      </w:pPr>
    </w:p>
    <w:p w14:paraId="220726B6" w14:textId="77777777" w:rsidR="0025716F" w:rsidRPr="00372391" w:rsidRDefault="0025716F" w:rsidP="0025716F">
      <w:pPr>
        <w:pStyle w:val="EndnoteText"/>
      </w:pPr>
      <w:r>
        <w:t xml:space="preserve"> If a beneficiary uses an advising bank to undertake other functions, such as to monitor the standby for imminent expiry or to forward a presentation of documents, those other functions would not be covered by an issuer's undertaking to pay fees for advising the standby.</w:t>
      </w:r>
    </w:p>
    <w:p w14:paraId="0764E107" w14:textId="77777777" w:rsidR="0025716F" w:rsidRDefault="0025716F" w:rsidP="0025716F">
      <w:pPr>
        <w:pStyle w:val="EndnoteText"/>
      </w:pPr>
    </w:p>
  </w:endnote>
  <w:endnote w:id="26">
    <w:p w14:paraId="44197783" w14:textId="77777777" w:rsidR="0025716F" w:rsidRDefault="0025716F" w:rsidP="0025716F">
      <w:pPr>
        <w:pStyle w:val="EndnoteText"/>
      </w:pPr>
      <w:r>
        <w:rPr>
          <w:rStyle w:val="EndnoteReference"/>
        </w:rPr>
        <w:endnoteRef/>
      </w:r>
      <w:r>
        <w:t xml:space="preserve">  </w:t>
      </w:r>
      <w:r w:rsidRPr="005E59A2">
        <w:rPr>
          <w:u w:val="single"/>
        </w:rPr>
        <w:t>Communications</w:t>
      </w:r>
      <w:r w:rsidRPr="00EE10B8">
        <w:rPr>
          <w:u w:val="single"/>
        </w:rPr>
        <w:t>.</w:t>
      </w:r>
      <w:r>
        <w:t xml:space="preserve"> This optional clause is included because many bank issuers include in their standbys a standard provision on communications to them (and frequently with a reminder to use the issuer's standby reference number when communicating about the standby). A government beneficiary may wish to develop its own standard provision for communications from issuers to it.</w:t>
      </w:r>
    </w:p>
    <w:p w14:paraId="200AB3FF" w14:textId="77777777" w:rsidR="0025716F" w:rsidRDefault="0025716F" w:rsidP="0025716F">
      <w:pPr>
        <w:pStyle w:val="EndnoteText"/>
      </w:pPr>
    </w:p>
    <w:p w14:paraId="55A7FFDF" w14:textId="77777777" w:rsidR="0025716F" w:rsidRDefault="0025716F" w:rsidP="0025716F">
      <w:pPr>
        <w:pStyle w:val="EndnoteText"/>
      </w:pPr>
      <w:r>
        <w:t xml:space="preserve">This ISP98 </w:t>
      </w:r>
      <w:r w:rsidRPr="007F114F">
        <w:t xml:space="preserve">Form </w:t>
      </w:r>
      <w:r w:rsidRPr="00F25688">
        <w:t>11.1</w:t>
      </w:r>
      <w:r w:rsidRPr="00A064F4">
        <w:t xml:space="preserve"> </w:t>
      </w:r>
      <w:r>
        <w:t>does not provide for automatic amendment upon notified change of addresses (telephone and electronic as well as physical office addresses, including attention party information). Changing the beneficiary's address may be facilitated by adding "or such other address as Beneficiary may specify in a written notice given to Issuer in the manner required to present a payment demand" or, more formally, by adding the following text and annex: “</w:t>
      </w:r>
      <w:r w:rsidRPr="00CB0F57">
        <w:rPr>
          <w:iCs/>
        </w:rPr>
        <w:t xml:space="preserve">unless Beneficiary makes </w:t>
      </w:r>
      <w:r>
        <w:rPr>
          <w:iCs/>
        </w:rPr>
        <w:t xml:space="preserve">a </w:t>
      </w:r>
      <w:r w:rsidRPr="00CB0F57">
        <w:rPr>
          <w:iCs/>
        </w:rPr>
        <w:t xml:space="preserve">demand in the form of Annex C (Demand for Change of </w:t>
      </w:r>
      <w:r>
        <w:rPr>
          <w:iCs/>
        </w:rPr>
        <w:t xml:space="preserve">Beneficiary's </w:t>
      </w:r>
      <w:r w:rsidRPr="00CB0F57">
        <w:rPr>
          <w:iCs/>
        </w:rPr>
        <w:t>Address), completed as</w:t>
      </w:r>
      <w:r w:rsidRPr="00CB0F57">
        <w:rPr>
          <w:iCs/>
          <w:color w:val="FF0000"/>
        </w:rPr>
        <w:t xml:space="preserve"> </w:t>
      </w:r>
      <w:r w:rsidRPr="00CB0F57">
        <w:rPr>
          <w:iCs/>
        </w:rPr>
        <w:t>indicated and presented to Issuer, whereupon</w:t>
      </w:r>
      <w:r>
        <w:rPr>
          <w:iCs/>
          <w:color w:val="000000"/>
        </w:rPr>
        <w:t xml:space="preserve"> Beneficiary's address shall</w:t>
      </w:r>
      <w:r w:rsidRPr="00CB0F57">
        <w:rPr>
          <w:iCs/>
          <w:color w:val="000000"/>
        </w:rPr>
        <w:t xml:space="preserve"> be automatically </w:t>
      </w:r>
      <w:r>
        <w:rPr>
          <w:iCs/>
          <w:color w:val="000000"/>
        </w:rPr>
        <w:t>amended in accordance with Beneficiary's demand</w:t>
      </w:r>
      <w:r>
        <w:t>."</w:t>
      </w:r>
    </w:p>
    <w:p w14:paraId="290FFDBB" w14:textId="77777777" w:rsidR="0025716F" w:rsidRDefault="0025716F" w:rsidP="0025716F">
      <w:pPr>
        <w:pStyle w:val="EndnoteText"/>
      </w:pPr>
    </w:p>
    <w:p w14:paraId="6585C21A" w14:textId="77777777" w:rsidR="0025716F" w:rsidRPr="00880B84" w:rsidRDefault="0025716F" w:rsidP="0025716F">
      <w:pPr>
        <w:pStyle w:val="Heading1"/>
        <w:rPr>
          <w:rFonts w:ascii="Times New Roman" w:hAnsi="Times New Roman" w:cs="Times New Roman"/>
          <w:b/>
          <w:szCs w:val="24"/>
        </w:rPr>
      </w:pPr>
      <w:bookmarkStart w:id="5" w:name="_Toc251139846"/>
      <w:bookmarkStart w:id="6" w:name="_Toc258488802"/>
      <w:r w:rsidRPr="00880B84">
        <w:rPr>
          <w:rFonts w:ascii="Times New Roman" w:hAnsi="Times New Roman" w:cs="Times New Roman"/>
          <w:b/>
          <w:szCs w:val="24"/>
        </w:rPr>
        <w:t>Annex C: Demand for Change of Beneficiary's Address</w:t>
      </w:r>
      <w:bookmarkEnd w:id="5"/>
      <w:bookmarkEnd w:id="6"/>
    </w:p>
    <w:p w14:paraId="5774511C" w14:textId="77777777" w:rsidR="0025716F" w:rsidRPr="00880B84" w:rsidRDefault="0025716F" w:rsidP="0025716F">
      <w:pPr>
        <w:widowControl w:val="0"/>
      </w:pPr>
    </w:p>
    <w:p w14:paraId="24588E11" w14:textId="77777777" w:rsidR="0025716F" w:rsidRPr="00880B84" w:rsidRDefault="0025716F" w:rsidP="0025716F">
      <w:pPr>
        <w:widowControl w:val="0"/>
      </w:pPr>
      <w:r w:rsidRPr="00880B84">
        <w:t>[</w:t>
      </w:r>
      <w:r w:rsidRPr="00880B84">
        <w:rPr>
          <w:smallCaps/>
        </w:rPr>
        <w:t>insert</w:t>
      </w:r>
      <w:r w:rsidRPr="00880B84">
        <w:t xml:space="preserve"> </w:t>
      </w:r>
      <w:r w:rsidRPr="00880B84">
        <w:rPr>
          <w:smallCaps/>
          <w:u w:val="single"/>
        </w:rPr>
        <w:t>date</w:t>
      </w:r>
      <w:r w:rsidRPr="00880B84">
        <w:t>]</w:t>
      </w:r>
    </w:p>
    <w:p w14:paraId="744EF56B" w14:textId="77777777" w:rsidR="0025716F" w:rsidRPr="00880B84" w:rsidRDefault="0025716F" w:rsidP="0025716F">
      <w:pPr>
        <w:widowControl w:val="0"/>
      </w:pPr>
    </w:p>
    <w:p w14:paraId="142A0282" w14:textId="77777777" w:rsidR="0025716F" w:rsidRPr="00880B84" w:rsidRDefault="0025716F" w:rsidP="0025716F">
      <w:pPr>
        <w:widowControl w:val="0"/>
      </w:pPr>
      <w:r w:rsidRPr="00880B84">
        <w:rPr>
          <w:b/>
        </w:rPr>
        <w:t>[name and address of Issuer or other addressee at place of presentation as stated in standby]</w:t>
      </w:r>
    </w:p>
    <w:p w14:paraId="2AAEF9CA" w14:textId="77777777" w:rsidR="0025716F" w:rsidRPr="00880B84" w:rsidRDefault="0025716F" w:rsidP="0025716F">
      <w:pPr>
        <w:widowControl w:val="0"/>
      </w:pPr>
    </w:p>
    <w:p w14:paraId="15B17594" w14:textId="77777777" w:rsidR="0025716F" w:rsidRPr="00880B84" w:rsidRDefault="0025716F" w:rsidP="0025716F">
      <w:pPr>
        <w:widowControl w:val="0"/>
      </w:pPr>
      <w:r w:rsidRPr="00880B84">
        <w:t xml:space="preserve">Re: Standby Letter of Credit No. </w:t>
      </w:r>
      <w:r w:rsidRPr="00880B84">
        <w:rPr>
          <w:b/>
        </w:rPr>
        <w:t>[reference number]</w:t>
      </w:r>
      <w:r w:rsidRPr="00880B84">
        <w:t xml:space="preserve">, dated </w:t>
      </w:r>
      <w:r w:rsidRPr="00880B84">
        <w:rPr>
          <w:b/>
        </w:rPr>
        <w:t>[date]</w:t>
      </w:r>
      <w:r w:rsidRPr="00880B84">
        <w:t xml:space="preserve">, issued by </w:t>
      </w:r>
      <w:r w:rsidRPr="00880B84">
        <w:rPr>
          <w:b/>
        </w:rPr>
        <w:t>[Issuer’s name]</w:t>
      </w:r>
      <w:r w:rsidRPr="00880B84">
        <w:t xml:space="preserve"> (“Standby”).</w:t>
      </w:r>
    </w:p>
    <w:p w14:paraId="53F87546" w14:textId="77777777" w:rsidR="0025716F" w:rsidRPr="00880B84" w:rsidRDefault="0025716F" w:rsidP="0025716F">
      <w:pPr>
        <w:widowControl w:val="0"/>
      </w:pPr>
    </w:p>
    <w:p w14:paraId="7DB7D558" w14:textId="77777777" w:rsidR="0025716F" w:rsidRPr="00880B84" w:rsidRDefault="0025716F" w:rsidP="0025716F">
      <w:pPr>
        <w:widowControl w:val="0"/>
      </w:pPr>
      <w:r w:rsidRPr="00880B84">
        <w:t>The undersigned Beneficiary demands that its address for sending all communications related to the Standby be changed from [</w:t>
      </w:r>
      <w:r w:rsidRPr="00880B84">
        <w:rPr>
          <w:smallCaps/>
        </w:rPr>
        <w:t xml:space="preserve">insert </w:t>
      </w:r>
      <w:r w:rsidRPr="00880B84">
        <w:rPr>
          <w:smallCaps/>
          <w:u w:val="single"/>
        </w:rPr>
        <w:t>prior address</w:t>
      </w:r>
      <w:r w:rsidRPr="00880B84">
        <w:t>] to [</w:t>
      </w:r>
      <w:r w:rsidRPr="00880B84">
        <w:rPr>
          <w:smallCaps/>
        </w:rPr>
        <w:t xml:space="preserve">insert </w:t>
      </w:r>
      <w:r w:rsidRPr="00880B84">
        <w:rPr>
          <w:smallCaps/>
          <w:u w:val="single"/>
        </w:rPr>
        <w:t>new address</w:t>
      </w:r>
      <w:r w:rsidRPr="00880B84">
        <w:t>], effective on the later of Issuer's receipt or</w:t>
      </w:r>
      <w:r>
        <w:t xml:space="preserve"> </w:t>
      </w:r>
      <w:r w:rsidRPr="00880B84">
        <w:t>[</w:t>
      </w:r>
      <w:r w:rsidRPr="00880B84">
        <w:rPr>
          <w:smallCaps/>
        </w:rPr>
        <w:t xml:space="preserve">insert </w:t>
      </w:r>
      <w:r w:rsidRPr="00880B84">
        <w:rPr>
          <w:smallCaps/>
          <w:u w:val="single"/>
        </w:rPr>
        <w:t>date</w:t>
      </w:r>
      <w:r w:rsidRPr="00880B84">
        <w:t>].</w:t>
      </w:r>
    </w:p>
    <w:p w14:paraId="108085C9" w14:textId="77777777" w:rsidR="0025716F" w:rsidRPr="00880B84" w:rsidRDefault="0025716F" w:rsidP="0025716F">
      <w:pPr>
        <w:widowControl w:val="0"/>
      </w:pPr>
      <w:r w:rsidRPr="00880B84">
        <w:tab/>
      </w:r>
    </w:p>
    <w:p w14:paraId="2D992A64" w14:textId="77777777" w:rsidR="0025716F" w:rsidRPr="00880B84" w:rsidRDefault="0025716F" w:rsidP="0025716F">
      <w:pPr>
        <w:widowControl w:val="0"/>
      </w:pPr>
    </w:p>
    <w:p w14:paraId="67FC04E9" w14:textId="77777777" w:rsidR="0025716F" w:rsidRPr="00880B84" w:rsidRDefault="0025716F" w:rsidP="0025716F">
      <w:pPr>
        <w:widowControl w:val="0"/>
        <w:ind w:left="5040"/>
      </w:pPr>
      <w:r w:rsidRPr="00880B84">
        <w:rPr>
          <w:b/>
        </w:rPr>
        <w:t>[Beneficiary’s name]</w:t>
      </w:r>
    </w:p>
    <w:p w14:paraId="4A553C88" w14:textId="77777777" w:rsidR="0025716F" w:rsidRPr="00880B84" w:rsidRDefault="0025716F" w:rsidP="0025716F">
      <w:pPr>
        <w:widowControl w:val="0"/>
      </w:pPr>
      <w:r w:rsidRPr="00880B84">
        <w:tab/>
      </w:r>
      <w:r w:rsidRPr="00880B84">
        <w:tab/>
      </w:r>
      <w:r w:rsidRPr="00880B84">
        <w:tab/>
      </w:r>
      <w:r w:rsidRPr="00880B84">
        <w:tab/>
      </w:r>
      <w:r w:rsidRPr="00880B84">
        <w:tab/>
      </w:r>
      <w:r w:rsidRPr="00880B84">
        <w:tab/>
      </w:r>
      <w:r w:rsidRPr="00880B84">
        <w:tab/>
      </w:r>
      <w:r w:rsidRPr="00880B84">
        <w:tab/>
      </w:r>
    </w:p>
    <w:p w14:paraId="42FFF7BC" w14:textId="77777777" w:rsidR="0025716F" w:rsidRPr="00880B84" w:rsidRDefault="0025716F" w:rsidP="0025716F">
      <w:pPr>
        <w:widowControl w:val="0"/>
      </w:pPr>
      <w:r w:rsidRPr="00880B84">
        <w:tab/>
      </w:r>
      <w:r w:rsidRPr="00880B84">
        <w:tab/>
      </w:r>
      <w:r w:rsidRPr="00880B84">
        <w:tab/>
      </w:r>
      <w:r w:rsidRPr="00880B84">
        <w:tab/>
      </w:r>
      <w:r w:rsidRPr="00880B84">
        <w:tab/>
      </w:r>
      <w:r w:rsidRPr="00880B84">
        <w:tab/>
      </w:r>
      <w:r w:rsidRPr="00880B84">
        <w:tab/>
        <w:t>By its authorized officer:</w:t>
      </w:r>
    </w:p>
    <w:p w14:paraId="70CFC854" w14:textId="77777777" w:rsidR="0025716F" w:rsidRPr="00880B84" w:rsidRDefault="0025716F" w:rsidP="0025716F">
      <w:pPr>
        <w:widowControl w:val="0"/>
      </w:pPr>
    </w:p>
    <w:p w14:paraId="6E4520F8" w14:textId="77777777" w:rsidR="0025716F" w:rsidRPr="00880B84" w:rsidRDefault="0025716F" w:rsidP="0025716F">
      <w:pPr>
        <w:widowControl w:val="0"/>
      </w:pPr>
      <w:r w:rsidRPr="00880B84">
        <w:tab/>
      </w:r>
      <w:r w:rsidRPr="00880B84">
        <w:tab/>
      </w:r>
      <w:r w:rsidRPr="00880B84">
        <w:tab/>
      </w:r>
      <w:r w:rsidRPr="00880B84">
        <w:tab/>
      </w:r>
      <w:r w:rsidRPr="00880B84">
        <w:tab/>
      </w:r>
      <w:r w:rsidRPr="00880B84">
        <w:tab/>
      </w:r>
      <w:r w:rsidRPr="00880B84">
        <w:tab/>
        <w:t>[</w:t>
      </w:r>
      <w:r w:rsidRPr="00880B84">
        <w:rPr>
          <w:smallCaps/>
        </w:rPr>
        <w:t xml:space="preserve">insert </w:t>
      </w:r>
      <w:r w:rsidRPr="00880B84">
        <w:rPr>
          <w:smallCaps/>
          <w:u w:val="single"/>
        </w:rPr>
        <w:t>original signature</w:t>
      </w:r>
      <w:r w:rsidRPr="00880B84">
        <w:t>]</w:t>
      </w:r>
      <w:r w:rsidRPr="00880B84">
        <w:tab/>
      </w:r>
      <w:r w:rsidRPr="00880B84">
        <w:tab/>
      </w:r>
      <w:r w:rsidRPr="00880B84">
        <w:tab/>
      </w:r>
      <w:r w:rsidRPr="00880B84">
        <w:tab/>
      </w:r>
      <w:r w:rsidRPr="00880B84">
        <w:tab/>
      </w:r>
      <w:r w:rsidRPr="00880B84">
        <w:tab/>
      </w:r>
      <w:r w:rsidRPr="00880B84">
        <w:tab/>
      </w:r>
      <w:r w:rsidRPr="00880B84">
        <w:tab/>
      </w:r>
      <w:r w:rsidRPr="00880B84">
        <w:tab/>
        <w:t>[</w:t>
      </w:r>
      <w:r w:rsidRPr="00880B84">
        <w:rPr>
          <w:smallCaps/>
        </w:rPr>
        <w:t xml:space="preserve">insert </w:t>
      </w:r>
      <w:r w:rsidRPr="00880B84">
        <w:rPr>
          <w:smallCaps/>
          <w:u w:val="single"/>
        </w:rPr>
        <w:t>typed/printed name and title</w:t>
      </w:r>
      <w:r w:rsidRPr="00880B84">
        <w:t>]</w:t>
      </w:r>
    </w:p>
    <w:p w14:paraId="6D0EBE01" w14:textId="77777777" w:rsidR="0025716F" w:rsidRPr="00D700B8" w:rsidRDefault="0025716F" w:rsidP="002571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D700B8">
        <w:t>_____________</w:t>
      </w:r>
    </w:p>
    <w:p w14:paraId="699C2C90" w14:textId="77777777" w:rsidR="0025716F" w:rsidRDefault="0025716F" w:rsidP="0025716F">
      <w:pPr>
        <w:pStyle w:val="EndnoteText"/>
      </w:pPr>
    </w:p>
    <w:p w14:paraId="2766886D" w14:textId="77777777" w:rsidR="0025716F" w:rsidRDefault="0025716F" w:rsidP="0025716F">
      <w:pPr>
        <w:pStyle w:val="EndnoteText"/>
      </w:pPr>
      <w:r>
        <w:t>No similar provision is needed for changes in the address of the issuer because ISP98 Rule 3.14(b) (Closure on a Business Day and Authorization of Another Reasonable Place for Presentation) provides a mechanism for the issuer automatic</w:t>
      </w:r>
      <w:r w:rsidRPr="009709C8">
        <w:t xml:space="preserve">ally to indicate a change of the address to which presentation must be made, provided notice </w:t>
      </w:r>
      <w:r>
        <w:t xml:space="preserve">thereof </w:t>
      </w:r>
      <w:r w:rsidRPr="009709C8">
        <w:t>is</w:t>
      </w:r>
      <w:r>
        <w:t xml:space="preserve"> timely </w:t>
      </w:r>
      <w:r w:rsidRPr="009709C8">
        <w:t>received</w:t>
      </w:r>
      <w:r>
        <w:t xml:space="preserve"> by the beneficiary</w:t>
      </w:r>
      <w:r w:rsidRPr="009709C8">
        <w:t>.</w:t>
      </w:r>
    </w:p>
    <w:p w14:paraId="238C7798" w14:textId="77777777" w:rsidR="0025716F" w:rsidRDefault="0025716F" w:rsidP="0025716F">
      <w:pPr>
        <w:pStyle w:val="EndnoteText"/>
      </w:pPr>
    </w:p>
  </w:endnote>
  <w:endnote w:id="27">
    <w:p w14:paraId="5ED4CC52" w14:textId="77777777" w:rsidR="0025716F" w:rsidRDefault="0025716F" w:rsidP="0025716F">
      <w:pPr>
        <w:pStyle w:val="EndnoteText"/>
      </w:pPr>
      <w:r>
        <w:rPr>
          <w:rStyle w:val="EndnoteReference"/>
        </w:rPr>
        <w:endnoteRef/>
      </w:r>
      <w:r w:rsidR="002A35E5">
        <w:t xml:space="preserve">  </w:t>
      </w:r>
      <w:r>
        <w:rPr>
          <w:u w:val="single"/>
        </w:rPr>
        <w:t>Demand issuance date</w:t>
      </w:r>
      <w:r w:rsidRPr="00EE10B8">
        <w:rPr>
          <w:u w:val="single"/>
        </w:rPr>
        <w:t>.</w:t>
      </w:r>
      <w:r>
        <w:t xml:space="preserve"> ISP98 Rule 4.16(b)(ii) (Demand for Payment) provides that a demand must contain an issuance date, and</w:t>
      </w:r>
      <w:r w:rsidRPr="00EF52A8">
        <w:t xml:space="preserve"> </w:t>
      </w:r>
      <w:r>
        <w:t xml:space="preserve">ISP98 Rule </w:t>
      </w:r>
      <w:r w:rsidRPr="00EF52A8">
        <w:t>4.0</w:t>
      </w:r>
      <w:r>
        <w:t>6</w:t>
      </w:r>
      <w:r w:rsidRPr="00EF52A8">
        <w:t xml:space="preserve"> (Date of Documents)</w:t>
      </w:r>
      <w:r>
        <w:t xml:space="preserve"> provides that its issuance date</w:t>
      </w:r>
      <w:r w:rsidRPr="00EF52A8">
        <w:t xml:space="preserve"> may not be later than </w:t>
      </w:r>
      <w:r>
        <w:t xml:space="preserve">the </w:t>
      </w:r>
      <w:r w:rsidRPr="00EF52A8">
        <w:t>date of its presentation</w:t>
      </w:r>
      <w:r>
        <w:t>.</w:t>
      </w:r>
    </w:p>
    <w:p w14:paraId="24AF5848" w14:textId="77777777" w:rsidR="0025716F" w:rsidRDefault="0025716F" w:rsidP="0025716F">
      <w:pPr>
        <w:pStyle w:val="EndnoteText"/>
      </w:pPr>
    </w:p>
  </w:endnote>
  <w:endnote w:id="28">
    <w:p w14:paraId="75DA8A9C" w14:textId="77777777" w:rsidR="0025716F" w:rsidRDefault="0025716F" w:rsidP="0025716F">
      <w:pPr>
        <w:pStyle w:val="EndnoteText"/>
      </w:pPr>
      <w:r w:rsidRPr="003C4578">
        <w:rPr>
          <w:vertAlign w:val="superscript"/>
        </w:rPr>
        <w:endnoteRef/>
      </w:r>
      <w:r>
        <w:t xml:space="preserve">  </w:t>
      </w:r>
      <w:r w:rsidRPr="00344A25">
        <w:rPr>
          <w:u w:val="single"/>
        </w:rPr>
        <w:t xml:space="preserve">Information to be inserted in </w:t>
      </w:r>
      <w:r>
        <w:rPr>
          <w:u w:val="single"/>
        </w:rPr>
        <w:t>annexed</w:t>
      </w:r>
      <w:r w:rsidRPr="00344A25">
        <w:rPr>
          <w:u w:val="single"/>
        </w:rPr>
        <w:t xml:space="preserve"> demand form before standby is issued.</w:t>
      </w:r>
      <w:r w:rsidRPr="00CC3AED">
        <w:t xml:space="preserve"> The</w:t>
      </w:r>
      <w:r>
        <w:t xml:space="preserve"> information in bold type at the top of Annex A (addressee and standby identification) should appear in the demand form when the standby is issued and be consistent with the information in the text of the standby. See ISP98 Rules 3.01 (Complying Presentation under a Standby) and 3.03 (Identification of Standby), 3.04 (Where and to Whom Complying Presentation Made), and 3.06 (Complying Medium of Presentation). If these data fields are blank or if there is no annexed demand form, then the beneficiary should provide this information in any demand.</w:t>
      </w:r>
    </w:p>
    <w:p w14:paraId="5C047550" w14:textId="77777777" w:rsidR="0025716F" w:rsidRDefault="0025716F" w:rsidP="0025716F">
      <w:pPr>
        <w:pStyle w:val="EndnoteText"/>
      </w:pPr>
    </w:p>
  </w:endnote>
  <w:endnote w:id="29">
    <w:p w14:paraId="3215549B" w14:textId="77777777" w:rsidR="0025716F" w:rsidRDefault="0025716F" w:rsidP="0025716F">
      <w:pPr>
        <w:pStyle w:val="EndnoteText"/>
      </w:pPr>
      <w:r w:rsidRPr="003C4578">
        <w:rPr>
          <w:vertAlign w:val="superscript"/>
        </w:rPr>
        <w:endnoteRef/>
      </w:r>
      <w:r>
        <w:t xml:space="preserve">  </w:t>
      </w:r>
      <w:r w:rsidRPr="0066258B">
        <w:rPr>
          <w:u w:val="single"/>
        </w:rPr>
        <w:t xml:space="preserve">Beneficiary </w:t>
      </w:r>
      <w:r>
        <w:rPr>
          <w:u w:val="single"/>
        </w:rPr>
        <w:t>s</w:t>
      </w:r>
      <w:r w:rsidRPr="003776A7">
        <w:rPr>
          <w:u w:val="single"/>
        </w:rPr>
        <w:t>tatements</w:t>
      </w:r>
      <w:r w:rsidRPr="00EE10B8">
        <w:rPr>
          <w:u w:val="single"/>
        </w:rPr>
        <w:t>.</w:t>
      </w:r>
      <w:r>
        <w:t xml:space="preserve"> Standbys commonly require presentation of beneficiary statements and commonly combine them with the required form of demand for payment. Words other than “states”, such as “certifies”, “represents”, “warrants”, “promises”, or a combination of those words, can also be used in the applicable government regulation or contract, in which case the required standby form should also use those words.</w:t>
      </w:r>
    </w:p>
    <w:p w14:paraId="775B9047" w14:textId="77777777" w:rsidR="0025716F" w:rsidRDefault="0025716F" w:rsidP="0025716F">
      <w:pPr>
        <w:pStyle w:val="EndnoteText"/>
      </w:pPr>
    </w:p>
    <w:p w14:paraId="0EBAE90F" w14:textId="77777777" w:rsidR="0025716F" w:rsidRDefault="0025716F" w:rsidP="0025716F">
      <w:pPr>
        <w:pStyle w:val="EndnoteText"/>
        <w:rPr>
          <w:szCs w:val="24"/>
        </w:rPr>
      </w:pPr>
      <w:r w:rsidRPr="00960621">
        <w:rPr>
          <w:szCs w:val="24"/>
        </w:rPr>
        <w:t>A</w:t>
      </w:r>
      <w:r>
        <w:rPr>
          <w:szCs w:val="24"/>
        </w:rPr>
        <w:t xml:space="preserve"> </w:t>
      </w:r>
      <w:r w:rsidRPr="00960621">
        <w:rPr>
          <w:szCs w:val="24"/>
        </w:rPr>
        <w:t xml:space="preserve">standby that </w:t>
      </w:r>
      <w:r>
        <w:rPr>
          <w:szCs w:val="24"/>
        </w:rPr>
        <w:t xml:space="preserve">requires a statement from the beneficiary and specifies the precise wording </w:t>
      </w:r>
      <w:r w:rsidRPr="00960621">
        <w:rPr>
          <w:szCs w:val="24"/>
        </w:rPr>
        <w:t>is subject to ISP98 Rule 4.09(b) (Identical Wording and Quotation Marks).</w:t>
      </w:r>
      <w:r>
        <w:rPr>
          <w:szCs w:val="24"/>
        </w:rPr>
        <w:t xml:space="preserve"> </w:t>
      </w:r>
      <w:r w:rsidRPr="00960621">
        <w:rPr>
          <w:szCs w:val="24"/>
        </w:rPr>
        <w:t xml:space="preserve">That </w:t>
      </w:r>
      <w:r>
        <w:rPr>
          <w:szCs w:val="24"/>
        </w:rPr>
        <w:t>rule</w:t>
      </w:r>
      <w:r w:rsidRPr="00960621">
        <w:rPr>
          <w:szCs w:val="24"/>
        </w:rPr>
        <w:t xml:space="preserve"> </w:t>
      </w:r>
      <w:r>
        <w:rPr>
          <w:szCs w:val="24"/>
        </w:rPr>
        <w:t xml:space="preserve">applies ISP98 Rule 4.01 (Examination for Compliance) so as to excuse </w:t>
      </w:r>
      <w:r w:rsidRPr="00960621">
        <w:rPr>
          <w:szCs w:val="24"/>
        </w:rPr>
        <w:t xml:space="preserve">the beneficiary </w:t>
      </w:r>
      <w:r>
        <w:rPr>
          <w:szCs w:val="24"/>
        </w:rPr>
        <w:t>from having to reproduce</w:t>
      </w:r>
      <w:r w:rsidRPr="00960621">
        <w:rPr>
          <w:szCs w:val="24"/>
        </w:rPr>
        <w:t xml:space="preserve"> apparent typographical errors</w:t>
      </w:r>
      <w:r>
        <w:rPr>
          <w:szCs w:val="24"/>
        </w:rPr>
        <w:t xml:space="preserve"> and the like in the standby and to excuse apparent typographical errors </w:t>
      </w:r>
      <w:r w:rsidRPr="00960621">
        <w:rPr>
          <w:szCs w:val="24"/>
        </w:rPr>
        <w:t>and the like</w:t>
      </w:r>
      <w:r>
        <w:rPr>
          <w:szCs w:val="24"/>
        </w:rPr>
        <w:t xml:space="preserve"> that may be included in the documents presented. Excusable errors are those apparent when the</w:t>
      </w:r>
      <w:r w:rsidRPr="00082386">
        <w:rPr>
          <w:szCs w:val="24"/>
        </w:rPr>
        <w:t xml:space="preserve"> </w:t>
      </w:r>
      <w:r>
        <w:rPr>
          <w:szCs w:val="24"/>
        </w:rPr>
        <w:t>standby and the documents presented are "read in context", the context being an examination for compliance under ISP98 and not an examination of the underlying transaction.</w:t>
      </w:r>
    </w:p>
    <w:p w14:paraId="338BA244" w14:textId="77777777" w:rsidR="0025716F" w:rsidRDefault="0025716F" w:rsidP="0025716F">
      <w:pPr>
        <w:pStyle w:val="EndnoteText"/>
        <w:rPr>
          <w:szCs w:val="24"/>
        </w:rPr>
      </w:pPr>
    </w:p>
    <w:p w14:paraId="0EDCDEED" w14:textId="77777777" w:rsidR="0025716F" w:rsidRDefault="0025716F" w:rsidP="0025716F">
      <w:pPr>
        <w:pStyle w:val="EndnoteText"/>
        <w:rPr>
          <w:szCs w:val="24"/>
        </w:rPr>
      </w:pPr>
      <w:r w:rsidRPr="00960621">
        <w:rPr>
          <w:szCs w:val="24"/>
        </w:rPr>
        <w:t xml:space="preserve">If </w:t>
      </w:r>
      <w:r>
        <w:rPr>
          <w:szCs w:val="24"/>
        </w:rPr>
        <w:t>the standby does not specify the precise wording</w:t>
      </w:r>
      <w:r w:rsidRPr="00960621">
        <w:rPr>
          <w:szCs w:val="24"/>
        </w:rPr>
        <w:t xml:space="preserve">, </w:t>
      </w:r>
      <w:r>
        <w:rPr>
          <w:szCs w:val="24"/>
        </w:rPr>
        <w:t xml:space="preserve">then ISP98 </w:t>
      </w:r>
      <w:r w:rsidRPr="00960621">
        <w:rPr>
          <w:szCs w:val="24"/>
        </w:rPr>
        <w:t>Rule 4.09(a) should be consulted</w:t>
      </w:r>
      <w:r>
        <w:rPr>
          <w:szCs w:val="24"/>
        </w:rPr>
        <w:t>. It allows a presented demand to use any words that "appear to convey the same meaning".</w:t>
      </w:r>
      <w:r w:rsidRPr="00960621">
        <w:rPr>
          <w:szCs w:val="24"/>
        </w:rPr>
        <w:t xml:space="preserve"> </w:t>
      </w:r>
      <w:r>
        <w:rPr>
          <w:szCs w:val="24"/>
        </w:rPr>
        <w:t>F</w:t>
      </w:r>
      <w:r w:rsidRPr="00960621">
        <w:rPr>
          <w:szCs w:val="24"/>
        </w:rPr>
        <w:t>le</w:t>
      </w:r>
      <w:r>
        <w:rPr>
          <w:szCs w:val="24"/>
        </w:rPr>
        <w:t>xi</w:t>
      </w:r>
      <w:r w:rsidRPr="00960621">
        <w:rPr>
          <w:szCs w:val="24"/>
        </w:rPr>
        <w:t xml:space="preserve">bility </w:t>
      </w:r>
      <w:r>
        <w:rPr>
          <w:szCs w:val="24"/>
        </w:rPr>
        <w:t>may also be</w:t>
      </w:r>
      <w:r w:rsidRPr="00960621">
        <w:rPr>
          <w:szCs w:val="24"/>
        </w:rPr>
        <w:t xml:space="preserve"> introduced by adding alternative </w:t>
      </w:r>
      <w:r>
        <w:rPr>
          <w:szCs w:val="24"/>
        </w:rPr>
        <w:t>wording</w:t>
      </w:r>
      <w:r w:rsidRPr="00960621">
        <w:rPr>
          <w:szCs w:val="24"/>
        </w:rPr>
        <w:t xml:space="preserve"> to the </w:t>
      </w:r>
      <w:r>
        <w:rPr>
          <w:szCs w:val="24"/>
        </w:rPr>
        <w:t>annex</w:t>
      </w:r>
      <w:r w:rsidRPr="00960621">
        <w:rPr>
          <w:szCs w:val="24"/>
        </w:rPr>
        <w:t xml:space="preserve">ed form </w:t>
      </w:r>
      <w:r>
        <w:rPr>
          <w:szCs w:val="24"/>
        </w:rPr>
        <w:t xml:space="preserve">of demand </w:t>
      </w:r>
      <w:r w:rsidRPr="00960621">
        <w:rPr>
          <w:szCs w:val="24"/>
        </w:rPr>
        <w:t xml:space="preserve">or otherwise </w:t>
      </w:r>
      <w:r>
        <w:rPr>
          <w:szCs w:val="24"/>
        </w:rPr>
        <w:t xml:space="preserve">generally </w:t>
      </w:r>
      <w:r w:rsidRPr="00960621">
        <w:rPr>
          <w:szCs w:val="24"/>
        </w:rPr>
        <w:t xml:space="preserve">indicating in the </w:t>
      </w:r>
      <w:r>
        <w:rPr>
          <w:szCs w:val="24"/>
        </w:rPr>
        <w:t>annex</w:t>
      </w:r>
      <w:r w:rsidRPr="00960621">
        <w:rPr>
          <w:szCs w:val="24"/>
        </w:rPr>
        <w:t xml:space="preserve">ed form </w:t>
      </w:r>
      <w:r>
        <w:rPr>
          <w:szCs w:val="24"/>
        </w:rPr>
        <w:t xml:space="preserve">of demand </w:t>
      </w:r>
      <w:r w:rsidRPr="00960621">
        <w:rPr>
          <w:szCs w:val="24"/>
        </w:rPr>
        <w:t>ho</w:t>
      </w:r>
      <w:r w:rsidR="003D6778">
        <w:rPr>
          <w:szCs w:val="24"/>
        </w:rPr>
        <w:t>w blank spaces may be completed.</w:t>
      </w:r>
    </w:p>
    <w:p w14:paraId="4A60E3DE" w14:textId="77777777" w:rsidR="0025716F" w:rsidRDefault="0025716F" w:rsidP="0025716F">
      <w:pPr>
        <w:pStyle w:val="EndnoteText"/>
        <w:rPr>
          <w:szCs w:val="24"/>
        </w:rPr>
      </w:pPr>
    </w:p>
    <w:p w14:paraId="02129737" w14:textId="77777777" w:rsidR="0025716F" w:rsidRDefault="0025716F" w:rsidP="0025716F">
      <w:pPr>
        <w:pStyle w:val="EndnoteText"/>
        <w:rPr>
          <w:szCs w:val="24"/>
        </w:rPr>
      </w:pPr>
      <w:r w:rsidRPr="00960621">
        <w:rPr>
          <w:szCs w:val="24"/>
        </w:rPr>
        <w:t>If no fle</w:t>
      </w:r>
      <w:r>
        <w:rPr>
          <w:szCs w:val="24"/>
        </w:rPr>
        <w:t>xi</w:t>
      </w:r>
      <w:r w:rsidRPr="00960621">
        <w:rPr>
          <w:szCs w:val="24"/>
        </w:rPr>
        <w:t>bility whatsoeve</w:t>
      </w:r>
      <w:r w:rsidR="00622468">
        <w:rPr>
          <w:szCs w:val="24"/>
        </w:rPr>
        <w:t xml:space="preserve">r is desired (e.g., because the </w:t>
      </w:r>
      <w:r w:rsidRPr="00960621">
        <w:rPr>
          <w:szCs w:val="24"/>
        </w:rPr>
        <w:t xml:space="preserve">demand or statement must be </w:t>
      </w:r>
      <w:r>
        <w:rPr>
          <w:szCs w:val="24"/>
        </w:rPr>
        <w:t>delivered</w:t>
      </w:r>
      <w:r w:rsidRPr="00960621">
        <w:rPr>
          <w:szCs w:val="24"/>
        </w:rPr>
        <w:t xml:space="preserve"> to a third person in a precisely specified form), then </w:t>
      </w:r>
      <w:r>
        <w:rPr>
          <w:szCs w:val="24"/>
        </w:rPr>
        <w:t xml:space="preserve">ISP98 </w:t>
      </w:r>
      <w:r w:rsidRPr="00960621">
        <w:rPr>
          <w:szCs w:val="24"/>
        </w:rPr>
        <w:t>Rule 4.09(c) should be consulted, with the understanding that it should be invoked rarely,</w:t>
      </w:r>
      <w:r w:rsidR="00622468">
        <w:rPr>
          <w:szCs w:val="24"/>
        </w:rPr>
        <w:t xml:space="preserve"> </w:t>
      </w:r>
      <w:r w:rsidRPr="00960621">
        <w:rPr>
          <w:szCs w:val="24"/>
        </w:rPr>
        <w:t xml:space="preserve">that it requires use </w:t>
      </w:r>
      <w:r>
        <w:rPr>
          <w:szCs w:val="24"/>
        </w:rPr>
        <w:t xml:space="preserve">of </w:t>
      </w:r>
      <w:r w:rsidRPr="00960621">
        <w:rPr>
          <w:szCs w:val="24"/>
        </w:rPr>
        <w:t>the word "exact" or "identical"</w:t>
      </w:r>
      <w:r>
        <w:rPr>
          <w:szCs w:val="24"/>
        </w:rPr>
        <w:t xml:space="preserve"> in the standby</w:t>
      </w:r>
      <w:r w:rsidRPr="00960621">
        <w:rPr>
          <w:szCs w:val="24"/>
        </w:rPr>
        <w:t xml:space="preserve">, and that its use may </w:t>
      </w:r>
      <w:r>
        <w:rPr>
          <w:szCs w:val="24"/>
        </w:rPr>
        <w:t>lead to unintended consequences for</w:t>
      </w:r>
      <w:r w:rsidRPr="00960621">
        <w:rPr>
          <w:szCs w:val="24"/>
        </w:rPr>
        <w:t xml:space="preserve"> the issuer, applicant, or beneficiary.</w:t>
      </w:r>
    </w:p>
    <w:p w14:paraId="1E3FCB1C" w14:textId="77777777" w:rsidR="0025716F" w:rsidRDefault="0025716F" w:rsidP="0025716F">
      <w:pPr>
        <w:pStyle w:val="EndnoteText"/>
      </w:pPr>
    </w:p>
  </w:endnote>
  <w:endnote w:id="30">
    <w:p w14:paraId="105FB882" w14:textId="77777777" w:rsidR="0025716F" w:rsidRPr="008C6EE9" w:rsidRDefault="0025716F" w:rsidP="0025716F">
      <w:pPr>
        <w:pStyle w:val="EndnoteText"/>
      </w:pPr>
      <w:r>
        <w:rPr>
          <w:rStyle w:val="EndnoteReference"/>
        </w:rPr>
        <w:endnoteRef/>
      </w:r>
      <w:r>
        <w:t xml:space="preserve">  </w:t>
      </w:r>
      <w:r w:rsidRPr="007B3320">
        <w:rPr>
          <w:u w:val="single"/>
        </w:rPr>
        <w:t>“Applicant”</w:t>
      </w:r>
      <w:r>
        <w:rPr>
          <w:u w:val="single"/>
        </w:rPr>
        <w:t xml:space="preserve"> as underlying obligor</w:t>
      </w:r>
      <w:r w:rsidRPr="00EE10B8">
        <w:rPr>
          <w:u w:val="single"/>
        </w:rPr>
        <w:t>.</w:t>
      </w:r>
      <w:r>
        <w:t xml:space="preserve"> This demand </w:t>
      </w:r>
      <w:r w:rsidRPr="00B023EA">
        <w:t>form uses “Applicant”, which is a defined term in the text of the standby, and assumes that the applicant and beneficiary are parties to the underlying agreement that establishes the obligations</w:t>
      </w:r>
      <w:r>
        <w:t xml:space="preserve"> to be supported by the standby. If this defined word is omitted from this demand form (as it should be if the “Applicant” is not the counter party to </w:t>
      </w:r>
      <w:r w:rsidRPr="008C6EE9">
        <w:t>the government beneficiary), the name of the party to the underlying transaction should be inserted here. See endnote 2 (Applicant).</w:t>
      </w:r>
    </w:p>
    <w:p w14:paraId="43361AB5" w14:textId="77777777" w:rsidR="0025716F" w:rsidRPr="008C6EE9" w:rsidRDefault="0025716F" w:rsidP="0025716F">
      <w:pPr>
        <w:pStyle w:val="EndnoteText"/>
      </w:pPr>
    </w:p>
    <w:p w14:paraId="0DAB7689" w14:textId="77777777" w:rsidR="0025716F" w:rsidRDefault="0025716F" w:rsidP="0025716F">
      <w:pPr>
        <w:pStyle w:val="EndnoteText"/>
      </w:pPr>
      <w:r w:rsidRPr="008C6EE9">
        <w:t>The following text covering defined terms may be appropriately added: "This demand is made in accordance with the terms and conditions, including defined</w:t>
      </w:r>
      <w:r>
        <w:t xml:space="preserve"> terms, of the Standby and ISP98."</w:t>
      </w:r>
    </w:p>
    <w:p w14:paraId="05EF2503" w14:textId="77777777" w:rsidR="0025716F" w:rsidRDefault="0025716F" w:rsidP="0025716F">
      <w:pPr>
        <w:pStyle w:val="EndnoteText"/>
      </w:pPr>
    </w:p>
  </w:endnote>
  <w:endnote w:id="31">
    <w:p w14:paraId="426BA341" w14:textId="77777777" w:rsidR="0025716F" w:rsidRPr="00CE2970" w:rsidRDefault="0025716F" w:rsidP="0025716F">
      <w:pPr>
        <w:pStyle w:val="EndnoteText"/>
      </w:pPr>
      <w:r w:rsidRPr="003C4578">
        <w:rPr>
          <w:vertAlign w:val="superscript"/>
        </w:rPr>
        <w:endnoteRef/>
      </w:r>
      <w:r>
        <w:t xml:space="preserve">  </w:t>
      </w:r>
      <w:r>
        <w:rPr>
          <w:u w:val="single"/>
        </w:rPr>
        <w:t>Obligated/</w:t>
      </w:r>
      <w:r w:rsidRPr="003776A7">
        <w:rPr>
          <w:u w:val="single"/>
        </w:rPr>
        <w:t>default</w:t>
      </w:r>
      <w:r w:rsidRPr="00EE10B8">
        <w:rPr>
          <w:u w:val="single"/>
        </w:rPr>
        <w:t>.</w:t>
      </w:r>
      <w:r>
        <w:t xml:space="preserve"> This beneficiary statement indicates that the applicant is “obligated to pay” the amount demanded, not that there is a “default”. A default statement is inapt where the amount demanded is payable on the date demanded without regard to the occurrence or continuance of a default or where “default” is not adequately defined in the underlying contract or regulation or where “default” may require that an action be taken that may be prohibited under laws triggered by the insolvency of the applicant or other party. This model demand form avoids use of and reliance on the word “default”.</w:t>
      </w:r>
    </w:p>
  </w:endnote>
  <w:endnote w:id="32">
    <w:p w14:paraId="3662D32C" w14:textId="77777777" w:rsidR="0025716F" w:rsidRPr="00CE2970" w:rsidRDefault="0025716F" w:rsidP="0025716F">
      <w:pPr>
        <w:pStyle w:val="EndnoteText"/>
      </w:pPr>
    </w:p>
    <w:p w14:paraId="084C21AB" w14:textId="77777777" w:rsidR="0025716F" w:rsidRPr="008C6EE9" w:rsidRDefault="0025716F" w:rsidP="0025716F">
      <w:pPr>
        <w:widowControl w:val="0"/>
      </w:pPr>
      <w:r w:rsidRPr="003C4578">
        <w:rPr>
          <w:vertAlign w:val="superscript"/>
        </w:rPr>
        <w:endnoteRef/>
      </w:r>
      <w:r>
        <w:t xml:space="preserve">  </w:t>
      </w:r>
      <w:r w:rsidRPr="00D749D1">
        <w:rPr>
          <w:u w:val="single"/>
        </w:rPr>
        <w:t xml:space="preserve">Identification of </w:t>
      </w:r>
      <w:r>
        <w:rPr>
          <w:u w:val="single"/>
        </w:rPr>
        <w:t>u</w:t>
      </w:r>
      <w:r w:rsidRPr="00D749D1">
        <w:rPr>
          <w:u w:val="single"/>
        </w:rPr>
        <w:t xml:space="preserve">nderlying </w:t>
      </w:r>
      <w:r>
        <w:rPr>
          <w:u w:val="single"/>
        </w:rPr>
        <w:t>obligations;</w:t>
      </w:r>
      <w:r w:rsidRPr="00DB7513">
        <w:rPr>
          <w:u w:val="single"/>
        </w:rPr>
        <w:t xml:space="preserve"> use of proceeds</w:t>
      </w:r>
      <w:r w:rsidRPr="009C3B56">
        <w:rPr>
          <w:u w:val="single"/>
        </w:rPr>
        <w:t>.</w:t>
      </w:r>
      <w:r>
        <w:t xml:space="preserve"> This demand form includes a reference, which could be general or specific, to the underlying obligations of the applicant to the government </w:t>
      </w:r>
      <w:r w:rsidRPr="008C6EE9">
        <w:t>beneficiary as provided in the underlying contract or regulation. This approach is desirable for the reasons indicated in endnote 8 (Annexed form of payment demand). As is the case throughout this ISP98 Form 11.1, the government beneficiary is expected to draft model text for its model form with standard references to itself and its regulation, etc., and later to develop with the particular applicant the details for the particular contract to be supported by the standby.</w:t>
      </w:r>
    </w:p>
    <w:p w14:paraId="6BB45910" w14:textId="77777777" w:rsidR="0025716F" w:rsidRPr="008C6EE9" w:rsidRDefault="0025716F" w:rsidP="0025716F">
      <w:pPr>
        <w:widowControl w:val="0"/>
      </w:pPr>
    </w:p>
    <w:p w14:paraId="00C9A0A5" w14:textId="77777777" w:rsidR="0025716F" w:rsidRPr="008C6EE9" w:rsidRDefault="0025716F" w:rsidP="0025716F">
      <w:pPr>
        <w:widowControl w:val="0"/>
      </w:pPr>
      <w:r w:rsidRPr="008C6EE9">
        <w:t xml:space="preserve">This demand form does not include a beneficiary statement regarding use of any payment received from a drawing under the standby. See ISP98 Form 1 endnotes 31-33 </w:t>
      </w:r>
      <w:r>
        <w:t>on</w:t>
      </w:r>
      <w:r w:rsidRPr="008C6EE9">
        <w:t xml:space="preserve"> the optional "use of proceeds" text in Annex A </w:t>
      </w:r>
      <w:r>
        <w:t>of</w:t>
      </w:r>
      <w:r w:rsidRPr="008C6EE9">
        <w:t xml:space="preserve"> Form 1. Annex A (and B) of this ISP98 Form 11.1 could usefully add, after an adequate identification of the underlying obligations: “Beneficiary further states that the proceeds from this demand will be used to satisfy or secure the above-identified obligations and that Beneficiary will account to Applicant for any proceeds that are not so used.”</w:t>
      </w:r>
    </w:p>
    <w:p w14:paraId="522487B9" w14:textId="77777777" w:rsidR="0025716F" w:rsidRPr="008C6EE9" w:rsidRDefault="0025716F" w:rsidP="0025716F">
      <w:pPr>
        <w:pStyle w:val="EndnoteText"/>
      </w:pPr>
    </w:p>
  </w:endnote>
  <w:endnote w:id="33">
    <w:p w14:paraId="5E779D5F" w14:textId="77777777" w:rsidR="0025716F" w:rsidRPr="008C6EE9" w:rsidRDefault="0025716F" w:rsidP="0025716F">
      <w:pPr>
        <w:pStyle w:val="EndnoteText"/>
      </w:pPr>
      <w:r w:rsidRPr="008C6EE9">
        <w:rPr>
          <w:rStyle w:val="EndnoteReference"/>
        </w:rPr>
        <w:endnoteRef/>
      </w:r>
      <w:r w:rsidRPr="008C6EE9">
        <w:t xml:space="preserve">  </w:t>
      </w:r>
      <w:r w:rsidRPr="008C6EE9">
        <w:rPr>
          <w:u w:val="single"/>
        </w:rPr>
        <w:t>Request for wire transfer to beneficiary’s account.</w:t>
      </w:r>
      <w:r w:rsidRPr="008C6EE9">
        <w:t xml:space="preserve"> This term in the demand form implements the payment term in the standby. It may be unnecessary if the text of the standby includes satisfactory wire transfer information for payment to the beneficiary. See endnote 23 (Place and method of payment).</w:t>
      </w:r>
    </w:p>
    <w:p w14:paraId="2DDD30A9" w14:textId="77777777" w:rsidR="0025716F" w:rsidRPr="008C6EE9" w:rsidRDefault="0025716F" w:rsidP="0025716F">
      <w:pPr>
        <w:pStyle w:val="EndnoteText"/>
      </w:pPr>
    </w:p>
    <w:p w14:paraId="19A0937F" w14:textId="77777777" w:rsidR="0025716F" w:rsidRDefault="0025716F" w:rsidP="0025716F">
      <w:pPr>
        <w:pStyle w:val="EndnoteText"/>
      </w:pPr>
      <w:r w:rsidRPr="008C6EE9">
        <w:rPr>
          <w:szCs w:val="24"/>
        </w:rPr>
        <w:t>If the standby text provides for a possible assignment of proceeds to be made in the beneficiary’s demand (see endnotes 1 (Name and address of Applicant) and 23 (Place and method of payment)), then the annexed demand form could add, e.g.: “</w:t>
      </w:r>
      <w:r w:rsidRPr="008C6EE9">
        <w:rPr>
          <w:iCs/>
          <w:szCs w:val="24"/>
        </w:rPr>
        <w:t>Alternatively, if this demand does not provide account information for Beneficiary, Beneficiary requests that payment be made to Beneficiary’s assignee of proceeds, as follows: [</w:t>
      </w:r>
      <w:r w:rsidRPr="008C6EE9">
        <w:rPr>
          <w:iCs/>
          <w:smallCaps/>
          <w:szCs w:val="24"/>
        </w:rPr>
        <w:t xml:space="preserve">insert </w:t>
      </w:r>
      <w:r w:rsidRPr="008C6EE9">
        <w:rPr>
          <w:iCs/>
          <w:smallCaps/>
          <w:szCs w:val="24"/>
          <w:u w:val="single"/>
        </w:rPr>
        <w:t>name and address of beneficiary’s assignee]</w:t>
      </w:r>
      <w:r w:rsidRPr="008C6EE9">
        <w:rPr>
          <w:iCs/>
          <w:smallCaps/>
          <w:szCs w:val="24"/>
        </w:rPr>
        <w:t xml:space="preserve"> </w:t>
      </w:r>
      <w:r w:rsidRPr="008C6EE9">
        <w:rPr>
          <w:iCs/>
          <w:szCs w:val="24"/>
        </w:rPr>
        <w:t>by wire transfer to an account of Beneficiary’s assignee of proceeds, as follows: [</w:t>
      </w:r>
      <w:r w:rsidRPr="008C6EE9">
        <w:rPr>
          <w:iCs/>
          <w:smallCaps/>
          <w:szCs w:val="24"/>
        </w:rPr>
        <w:t xml:space="preserve">insert </w:t>
      </w:r>
      <w:r w:rsidRPr="008C6EE9">
        <w:rPr>
          <w:iCs/>
          <w:smallCaps/>
          <w:szCs w:val="24"/>
          <w:u w:val="single"/>
        </w:rPr>
        <w:t>name, address, and routing number of assignee’s bank, and name and number of assignee’s account to be credited by its bank</w:t>
      </w:r>
      <w:r w:rsidRPr="008C6EE9">
        <w:rPr>
          <w:iCs/>
          <w:szCs w:val="24"/>
          <w:u w:val="single"/>
        </w:rPr>
        <w:t>]</w:t>
      </w:r>
      <w:r w:rsidRPr="008C6EE9">
        <w:rPr>
          <w:iCs/>
          <w:szCs w:val="24"/>
        </w:rPr>
        <w:t>.</w:t>
      </w:r>
      <w:r w:rsidRPr="008C6EE9">
        <w:rPr>
          <w:szCs w:val="24"/>
        </w:rPr>
        <w:t xml:space="preserve">]” As noted in endnote 23, this added text could also include a beneficiary statement that, e.g., the assignee will be using the standby proceeds for a purpose required or permitted by the underlying contract or regulation or </w:t>
      </w:r>
      <w:r w:rsidRPr="008C6EE9">
        <w:t>will be holding proceeds as a trustee, custodian, or the like representing one or more third parties with government recognized claims against the applicant</w:t>
      </w:r>
      <w:r w:rsidRPr="008C6EE9">
        <w:rPr>
          <w:szCs w:val="24"/>
        </w:rPr>
        <w:t xml:space="preserve">. As also noted in endnote 23, an issuer's acknowledging or effecting an assignment of proceeds is subject to </w:t>
      </w:r>
      <w:r w:rsidRPr="008C6EE9">
        <w:t>laws regulating money laundering, sanctions, and other matters that apply to issuers requested or required to effect</w:t>
      </w:r>
      <w:r>
        <w:t xml:space="preserve"> payment to an assignee.</w:t>
      </w:r>
    </w:p>
    <w:p w14:paraId="40472948" w14:textId="77777777" w:rsidR="0025716F" w:rsidRDefault="0025716F" w:rsidP="0025716F">
      <w:pPr>
        <w:pStyle w:val="EndnoteText"/>
      </w:pPr>
    </w:p>
  </w:endnote>
  <w:endnote w:id="34">
    <w:p w14:paraId="05078733" w14:textId="77777777" w:rsidR="0025716F" w:rsidRDefault="0025716F" w:rsidP="0025716F">
      <w:pPr>
        <w:pStyle w:val="EndnoteText"/>
      </w:pPr>
      <w:r w:rsidRPr="00D579EB">
        <w:rPr>
          <w:rStyle w:val="EndnoteReference"/>
        </w:rPr>
        <w:endnoteRef/>
      </w:r>
      <w:r>
        <w:t xml:space="preserve">  </w:t>
      </w:r>
      <w:r w:rsidRPr="00637692">
        <w:rPr>
          <w:u w:val="single"/>
        </w:rPr>
        <w:t>S</w:t>
      </w:r>
      <w:r>
        <w:rPr>
          <w:u w:val="single"/>
        </w:rPr>
        <w:t xml:space="preserve">igner </w:t>
      </w:r>
      <w:r w:rsidRPr="00637692">
        <w:rPr>
          <w:u w:val="single"/>
        </w:rPr>
        <w:t>authentication</w:t>
      </w:r>
      <w:r w:rsidRPr="00EE10B8">
        <w:rPr>
          <w:u w:val="single"/>
        </w:rPr>
        <w:t>.</w:t>
      </w:r>
      <w:r>
        <w:t xml:space="preserve"> This demand form requires the signer to indicate in the signature line that the demand and statement are made by the named beneficiary located at the address stated in the standby. Accordingly, the beneficiary's name and address should be stated in this demand form when the standby incorporating it is issued. If desired, the title(s) or names(s) of the beneficiary's permitted signers may also be specified in the demand form when the standby is issued.</w:t>
      </w:r>
    </w:p>
    <w:p w14:paraId="0CDA736A" w14:textId="77777777" w:rsidR="0025716F" w:rsidRDefault="0025716F" w:rsidP="0025716F">
      <w:pPr>
        <w:pStyle w:val="EndnoteText"/>
      </w:pPr>
    </w:p>
  </w:endnote>
  <w:endnote w:id="35">
    <w:p w14:paraId="338A72B7" w14:textId="77777777" w:rsidR="0025716F" w:rsidRDefault="0025716F" w:rsidP="0025716F">
      <w:pPr>
        <w:pStyle w:val="EndnoteText"/>
      </w:pPr>
      <w:r w:rsidRPr="003C4578">
        <w:rPr>
          <w:rStyle w:val="EndnoteReference"/>
        </w:rPr>
        <w:endnoteRef/>
      </w:r>
      <w:r>
        <w:t xml:space="preserve">  </w:t>
      </w:r>
      <w:r w:rsidRPr="00A93F40">
        <w:rPr>
          <w:u w:val="single"/>
        </w:rPr>
        <w:t>Original signature</w:t>
      </w:r>
      <w:r w:rsidRPr="00EE10B8">
        <w:rPr>
          <w:u w:val="single"/>
        </w:rPr>
        <w:t>.</w:t>
      </w:r>
      <w:r>
        <w:t xml:space="preserve"> Assuming that Annex A is to be presented as a paper document, when presented it should bear an original signature of an individual with the signer's printed name and officer title below. See ISP98 Rules 1.09(a) (Defined Terms (“Signature”)), 3.06(d) (Complying Medium of Presentation), and 4.07 (Required Signature on a Document).</w:t>
      </w:r>
    </w:p>
    <w:p w14:paraId="615F9BB6" w14:textId="77777777" w:rsidR="0025716F" w:rsidRPr="00A81D81" w:rsidRDefault="0025716F" w:rsidP="0025716F">
      <w:pPr>
        <w:pStyle w:val="EndnoteText"/>
      </w:pPr>
    </w:p>
  </w:endnote>
  <w:endnote w:id="36">
    <w:p w14:paraId="2BE58F07" w14:textId="77777777" w:rsidR="0025716F" w:rsidRPr="00A81D81" w:rsidRDefault="0025716F" w:rsidP="0025716F">
      <w:pPr>
        <w:pStyle w:val="EndnoteText"/>
      </w:pPr>
      <w:r w:rsidRPr="00A81D81">
        <w:rPr>
          <w:rStyle w:val="EndnoteReference"/>
        </w:rPr>
        <w:endnoteRef/>
      </w:r>
      <w:r w:rsidRPr="00A81D81">
        <w:t xml:space="preserve"> </w:t>
      </w:r>
      <w:r>
        <w:t xml:space="preserve"> </w:t>
      </w:r>
      <w:r w:rsidRPr="00A81D81">
        <w:rPr>
          <w:u w:val="single"/>
        </w:rPr>
        <w:t xml:space="preserve">Annex B </w:t>
      </w:r>
      <w:r>
        <w:rPr>
          <w:u w:val="single"/>
        </w:rPr>
        <w:t>e</w:t>
      </w:r>
      <w:r w:rsidRPr="00A81D81">
        <w:rPr>
          <w:u w:val="single"/>
        </w:rPr>
        <w:t>ndnotes</w:t>
      </w:r>
      <w:r>
        <w:t xml:space="preserve">. </w:t>
      </w:r>
      <w:r w:rsidRPr="00E74C16">
        <w:t>The endnotes for Annex B address only those few aspects that a</w:t>
      </w:r>
      <w:r w:rsidRPr="00A81D81">
        <w:t>re unique to th</w:t>
      </w:r>
      <w:r>
        <w:t>e Annex B</w:t>
      </w:r>
      <w:r w:rsidRPr="00A81D81">
        <w:t xml:space="preserve"> </w:t>
      </w:r>
      <w:r>
        <w:t xml:space="preserve">form of </w:t>
      </w:r>
      <w:r w:rsidRPr="00A81D81">
        <w:t>demand. Otherw</w:t>
      </w:r>
      <w:r w:rsidRPr="009709C8">
        <w:t>ise, it is modeled on Annex A</w:t>
      </w:r>
      <w:r>
        <w:t>, the</w:t>
      </w:r>
      <w:r w:rsidRPr="009709C8">
        <w:t xml:space="preserve"> endnotes</w:t>
      </w:r>
      <w:r>
        <w:t xml:space="preserve"> for which</w:t>
      </w:r>
      <w:r w:rsidRPr="009709C8">
        <w:t xml:space="preserve"> are not repeated</w:t>
      </w:r>
      <w:r>
        <w:t>.</w:t>
      </w:r>
    </w:p>
    <w:p w14:paraId="20ACC754" w14:textId="77777777" w:rsidR="0025716F" w:rsidRPr="00A81D81" w:rsidRDefault="0025716F" w:rsidP="0025716F">
      <w:pPr>
        <w:pStyle w:val="EndnoteText"/>
      </w:pPr>
    </w:p>
  </w:endnote>
  <w:endnote w:id="37">
    <w:p w14:paraId="1F679571" w14:textId="77777777" w:rsidR="0025716F" w:rsidRPr="00CE2970" w:rsidRDefault="0025716F" w:rsidP="0025716F">
      <w:pPr>
        <w:pStyle w:val="EndnoteText"/>
        <w:tabs>
          <w:tab w:val="left" w:pos="3960"/>
        </w:tabs>
        <w:rPr>
          <w:szCs w:val="24"/>
        </w:rPr>
      </w:pPr>
      <w:r>
        <w:rPr>
          <w:rStyle w:val="EndnoteReference"/>
          <w:szCs w:val="24"/>
        </w:rPr>
        <w:endnoteRef/>
      </w:r>
      <w:r w:rsidRPr="002105B4">
        <w:rPr>
          <w:szCs w:val="24"/>
        </w:rPr>
        <w:t xml:space="preserve"> </w:t>
      </w:r>
      <w:r>
        <w:rPr>
          <w:szCs w:val="24"/>
        </w:rPr>
        <w:t xml:space="preserve"> </w:t>
      </w:r>
      <w:r w:rsidRPr="00274075">
        <w:rPr>
          <w:szCs w:val="24"/>
          <w:u w:val="single"/>
        </w:rPr>
        <w:t>Re</w:t>
      </w:r>
      <w:r w:rsidRPr="002105B4">
        <w:rPr>
          <w:szCs w:val="24"/>
          <w:u w:val="single"/>
        </w:rPr>
        <w:t xml:space="preserve">traction or </w:t>
      </w:r>
      <w:r>
        <w:rPr>
          <w:szCs w:val="24"/>
          <w:u w:val="single"/>
        </w:rPr>
        <w:t>replacement</w:t>
      </w:r>
      <w:r w:rsidRPr="009709C8" w:rsidDel="000E6F4F">
        <w:rPr>
          <w:szCs w:val="24"/>
          <w:u w:val="single"/>
        </w:rPr>
        <w:t xml:space="preserve"> </w:t>
      </w:r>
      <w:r w:rsidRPr="009709C8">
        <w:rPr>
          <w:szCs w:val="24"/>
          <w:u w:val="single"/>
        </w:rPr>
        <w:t>standby</w:t>
      </w:r>
      <w:r w:rsidRPr="00EE10B8">
        <w:rPr>
          <w:szCs w:val="24"/>
          <w:u w:val="single"/>
        </w:rPr>
        <w:t>.</w:t>
      </w:r>
      <w:r w:rsidRPr="00CC3AED">
        <w:rPr>
          <w:szCs w:val="24"/>
        </w:rPr>
        <w:t xml:space="preserve"> </w:t>
      </w:r>
      <w:r>
        <w:t>The applicable government regulation or contract may permit the applicant to arrange for a timely retraction of the notice of non-extension or for a replacement standby</w:t>
      </w:r>
      <w:r w:rsidRPr="008C6EE9">
        <w:t xml:space="preserve">. </w:t>
      </w:r>
      <w:r w:rsidRPr="008C6EE9">
        <w:rPr>
          <w:szCs w:val="24"/>
        </w:rPr>
        <w:t>If the standby also permits retraction of a non-extension notice, as suggested in endnote 19 (</w:t>
      </w:r>
      <w:r w:rsidRPr="008C6EE9">
        <w:t>Retraction of non-extension notice</w:t>
      </w:r>
      <w:r w:rsidRPr="008C6EE9">
        <w:rPr>
          <w:szCs w:val="24"/>
        </w:rPr>
        <w:t>), the required</w:t>
      </w:r>
      <w:r w:rsidRPr="002105B4">
        <w:rPr>
          <w:szCs w:val="24"/>
        </w:rPr>
        <w:t xml:space="preserve"> beneficiary statement </w:t>
      </w:r>
      <w:r>
        <w:rPr>
          <w:szCs w:val="24"/>
        </w:rPr>
        <w:t>might add that</w:t>
      </w:r>
      <w:r w:rsidRPr="002105B4">
        <w:rPr>
          <w:szCs w:val="24"/>
        </w:rPr>
        <w:t xml:space="preserve"> </w:t>
      </w:r>
      <w:r>
        <w:rPr>
          <w:szCs w:val="24"/>
        </w:rPr>
        <w:t xml:space="preserve">no </w:t>
      </w:r>
      <w:r w:rsidRPr="002105B4">
        <w:rPr>
          <w:szCs w:val="24"/>
        </w:rPr>
        <w:t xml:space="preserve">retraction of the non-extension notice and no permitted </w:t>
      </w:r>
      <w:r>
        <w:rPr>
          <w:szCs w:val="24"/>
        </w:rPr>
        <w:t>replacement</w:t>
      </w:r>
      <w:r w:rsidRPr="002105B4">
        <w:rPr>
          <w:szCs w:val="24"/>
        </w:rPr>
        <w:t xml:space="preserve"> standby (or other equivalent security) has been timely </w:t>
      </w:r>
      <w:r>
        <w:rPr>
          <w:szCs w:val="24"/>
        </w:rPr>
        <w:t>provided</w:t>
      </w:r>
      <w:r w:rsidRPr="002105B4">
        <w:rPr>
          <w:szCs w:val="24"/>
        </w:rPr>
        <w:t>.</w:t>
      </w:r>
    </w:p>
    <w:p w14:paraId="63DCE52B" w14:textId="77777777" w:rsidR="0025716F" w:rsidRPr="00CE2970" w:rsidRDefault="0025716F" w:rsidP="0025716F">
      <w:pPr>
        <w:pStyle w:val="EndnoteText"/>
      </w:pPr>
    </w:p>
  </w:endnote>
  <w:endnote w:id="38">
    <w:p w14:paraId="2C5089A6" w14:textId="77777777" w:rsidR="0025716F" w:rsidRDefault="0025716F" w:rsidP="0025716F">
      <w:pPr>
        <w:autoSpaceDE w:val="0"/>
        <w:autoSpaceDN w:val="0"/>
        <w:adjustRightInd w:val="0"/>
      </w:pPr>
      <w:r>
        <w:rPr>
          <w:rStyle w:val="EndnoteReference"/>
        </w:rPr>
        <w:endnoteRef/>
      </w:r>
      <w:r>
        <w:t xml:space="preserve">  </w:t>
      </w:r>
      <w:r w:rsidRPr="009709C8">
        <w:rPr>
          <w:u w:val="single"/>
        </w:rPr>
        <w:t>References to UCC Article 5</w:t>
      </w:r>
      <w:r w:rsidRPr="00EE10B8">
        <w:rPr>
          <w:u w:val="single"/>
        </w:rPr>
        <w:t>.</w:t>
      </w:r>
      <w:r>
        <w:t xml:space="preserve"> All</w:t>
      </w:r>
      <w:r w:rsidRPr="009709C8">
        <w:t xml:space="preserve"> references </w:t>
      </w:r>
      <w:r>
        <w:t>in these endnotes</w:t>
      </w:r>
      <w:r w:rsidRPr="009709C8">
        <w:t xml:space="preserve"> to UC</w:t>
      </w:r>
      <w:r>
        <w:t xml:space="preserve">C Article 5 </w:t>
      </w:r>
      <w:r w:rsidRPr="009709C8">
        <w:t xml:space="preserve">are to the </w:t>
      </w:r>
      <w:r>
        <w:t xml:space="preserve">official text of Article 5 which was substantially revised in 1995 and promulgated </w:t>
      </w:r>
      <w:r w:rsidRPr="009709C8">
        <w:t>by the Uniform Law Commissioner</w:t>
      </w:r>
      <w:r>
        <w:t>s</w:t>
      </w:r>
      <w:r w:rsidRPr="009709C8">
        <w:t xml:space="preserve"> and the Ame</w:t>
      </w:r>
      <w:r>
        <w:t>rican Law Institute</w:t>
      </w:r>
      <w:r w:rsidRPr="009709C8">
        <w:t>.</w:t>
      </w:r>
      <w:r>
        <w:t xml:space="preserve"> Although all states and the District of Columbia have enacted a substantially identical version of UCC Article 5, some state enactments have re-numbered or re-lettered its sections and some have omitted or altered particular subsections. </w:t>
      </w:r>
      <w:r w:rsidRPr="009709C8">
        <w:t xml:space="preserve">Where the law of a </w:t>
      </w:r>
      <w:r>
        <w:t>particular</w:t>
      </w:r>
      <w:r w:rsidRPr="009709C8">
        <w:t xml:space="preserve"> state is at issue, the version enacted in that state </w:t>
      </w:r>
      <w:r>
        <w:t xml:space="preserve">should be consulted </w:t>
      </w:r>
      <w:r w:rsidRPr="009709C8">
        <w:t xml:space="preserve">before relying on the section </w:t>
      </w:r>
      <w:r>
        <w:t xml:space="preserve">cited in these endnotes. See </w:t>
      </w:r>
      <w:hyperlink r:id="rId1" w:history="1">
        <w:r w:rsidRPr="00B80852">
          <w:rPr>
            <w:rStyle w:val="Hyperlink"/>
            <w:rFonts w:eastAsiaTheme="majorEastAsia"/>
            <w:szCs w:val="24"/>
          </w:rPr>
          <w:t>http://topics.law.cornell.edu/wex/table_ucc</w:t>
        </w:r>
      </w:hyperlink>
      <w:r>
        <w:t>.</w:t>
      </w:r>
    </w:p>
  </w:endnote>
  <w:endnote w:id="39">
    <w:p w14:paraId="28BD75C8" w14:textId="77777777" w:rsidR="0025716F" w:rsidRDefault="0025716F" w:rsidP="0025716F">
      <w:pPr>
        <w:widowControl w:val="0"/>
        <w:autoSpaceDE w:val="0"/>
        <w:autoSpaceDN w:val="0"/>
        <w:adjustRightInd w:val="0"/>
        <w:spacing w:before="200"/>
      </w:pPr>
      <w:r>
        <w:rPr>
          <w:rStyle w:val="EndnoteReference"/>
        </w:rPr>
        <w:endnoteRef/>
      </w:r>
      <w:r>
        <w:t xml:space="preserve">  </w:t>
      </w:r>
      <w:r>
        <w:rPr>
          <w:u w:val="single"/>
        </w:rPr>
        <w:t>Banking Regulations.</w:t>
      </w:r>
      <w:r w:rsidRPr="00D749D1">
        <w:t xml:space="preserve"> </w:t>
      </w:r>
      <w:r w:rsidRPr="003E5E28">
        <w:t>The U.S. Office of the Comptroller of the Currency (“OCC”) is an independent bureau of the U.S. Department of the Treasury established in 1863. It regulates and supervises national banks and Federal savings associations to ensure that they operate in a safe and sound manner and in compliance with all applicable laws.</w:t>
      </w:r>
    </w:p>
    <w:p w14:paraId="075C3048" w14:textId="77777777" w:rsidR="0025716F" w:rsidRPr="003E5E28" w:rsidRDefault="0025716F" w:rsidP="0025716F">
      <w:pPr>
        <w:widowControl w:val="0"/>
        <w:autoSpaceDE w:val="0"/>
        <w:autoSpaceDN w:val="0"/>
        <w:adjustRightInd w:val="0"/>
        <w:spacing w:before="200"/>
      </w:pPr>
      <w:r w:rsidRPr="003E5E28">
        <w:t>Over the years, the OCC has issued extensive ruling</w:t>
      </w:r>
      <w:r>
        <w:t>s on bank letters of credit. In 1996, after the 1995 revision of UCC Article 5, t</w:t>
      </w:r>
      <w:r w:rsidRPr="003E5E28">
        <w:t>he OCC promulgated a comprehensive version of</w:t>
      </w:r>
      <w:r>
        <w:t xml:space="preserve"> its interpretive ruling, which was designated as 12 C.F.R. § 7.1016, replacing </w:t>
      </w:r>
      <w:r w:rsidRPr="003E5E28">
        <w:t>earlier version</w:t>
      </w:r>
      <w:r>
        <w:t xml:space="preserve">s in the Code of Federal Regulations dating back to </w:t>
      </w:r>
      <w:r w:rsidRPr="003E5E28">
        <w:t xml:space="preserve">1971. </w:t>
      </w:r>
      <w:r>
        <w:t>12 C.F.R. § 7.1016</w:t>
      </w:r>
      <w:r w:rsidRPr="003E5E28">
        <w:t xml:space="preserve"> has been </w:t>
      </w:r>
      <w:r>
        <w:t xml:space="preserve">further </w:t>
      </w:r>
      <w:r w:rsidRPr="003E5E28">
        <w:t xml:space="preserve">amended several times to </w:t>
      </w:r>
      <w:r>
        <w:t>expressly recognize</w:t>
      </w:r>
      <w:r w:rsidRPr="003E5E28">
        <w:t xml:space="preserve"> d</w:t>
      </w:r>
      <w:r>
        <w:t>evelopments in practice rules, including ISP98.</w:t>
      </w:r>
    </w:p>
    <w:p w14:paraId="76B4FD97" w14:textId="77777777" w:rsidR="0025716F" w:rsidRPr="003E5E28" w:rsidRDefault="0025716F" w:rsidP="0025716F">
      <w:pPr>
        <w:widowControl w:val="0"/>
        <w:autoSpaceDE w:val="0"/>
        <w:autoSpaceDN w:val="0"/>
        <w:adjustRightInd w:val="0"/>
        <w:spacing w:before="200"/>
      </w:pPr>
      <w:r w:rsidRPr="003E5E28">
        <w:t>Although not imposing requirements on the enforceability of a letter of credit</w:t>
      </w:r>
      <w:r>
        <w:t>, through 12 C.F.R. § 7.1016</w:t>
      </w:r>
      <w:r w:rsidRPr="003E5E28">
        <w:t xml:space="preserve"> the OCC has imposed safety and soundness standards for letters of credit. The </w:t>
      </w:r>
      <w:r>
        <w:t xml:space="preserve">regulation </w:t>
      </w:r>
      <w:r w:rsidRPr="003E5E28">
        <w:t>indicates that its scope applies to all independent undertakings, focusing on their documentary character and requiring that they be definite, limited in amount and duration, and that the issuer or confirmer be able to be reimbursed. It also addresses undertakings to honor by delivering an item of value, automatic extensions, undertakings for a bank’s own account, requisite operational expertise, and documentation.</w:t>
      </w:r>
    </w:p>
    <w:p w14:paraId="187175FB" w14:textId="77777777" w:rsidR="0025716F" w:rsidRDefault="0025716F" w:rsidP="0025716F">
      <w:pPr>
        <w:widowControl w:val="0"/>
        <w:autoSpaceDE w:val="0"/>
        <w:autoSpaceDN w:val="0"/>
        <w:adjustRightInd w:val="0"/>
        <w:spacing w:before="200"/>
      </w:pPr>
      <w:r w:rsidRPr="003E5E28">
        <w:t xml:space="preserve">While </w:t>
      </w:r>
      <w:r>
        <w:t>12 C.F.R. § 7.1016</w:t>
      </w:r>
      <w:r w:rsidRPr="003E5E28">
        <w:t xml:space="preserve"> is by its terms applicable only to national banks, its principles frequently appear in rules applied to financial institutions chartered under different authority. For example, under 12 C</w:t>
      </w:r>
      <w:r>
        <w:t>.</w:t>
      </w:r>
      <w:r w:rsidRPr="003E5E28">
        <w:t>F</w:t>
      </w:r>
      <w:r>
        <w:t>.</w:t>
      </w:r>
      <w:r w:rsidRPr="003E5E28">
        <w:t>R</w:t>
      </w:r>
      <w:r>
        <w:t>.</w:t>
      </w:r>
      <w:r w:rsidRPr="003E5E28">
        <w:t xml:space="preserve"> </w:t>
      </w:r>
      <w:r>
        <w:t xml:space="preserve">§ </w:t>
      </w:r>
      <w:r w:rsidRPr="003E5E28">
        <w:t xml:space="preserve">28.13, a </w:t>
      </w:r>
      <w:r w:rsidRPr="003E5E28">
        <w:t>Federal branch or agency of a foreign bank is generally subject to the same regulations as if it were a national bank. Federal and state savings associations are subject to the OCC’s regulation 12 C</w:t>
      </w:r>
      <w:r>
        <w:t>.</w:t>
      </w:r>
      <w:r w:rsidRPr="003E5E28">
        <w:t>F</w:t>
      </w:r>
      <w:r>
        <w:t>.</w:t>
      </w:r>
      <w:r w:rsidRPr="003E5E28">
        <w:t>R</w:t>
      </w:r>
      <w:r>
        <w:t>.</w:t>
      </w:r>
      <w:r w:rsidRPr="003E5E28">
        <w:t xml:space="preserve"> </w:t>
      </w:r>
      <w:r>
        <w:t xml:space="preserve">§ </w:t>
      </w:r>
      <w:r w:rsidRPr="003E5E28">
        <w:t xml:space="preserve">160.120 and the Federal Deposit Insurance Corporation’s regulation </w:t>
      </w:r>
      <w:r w:rsidRPr="003E5E28">
        <w:rPr>
          <w:szCs w:val="24"/>
        </w:rPr>
        <w:t>12 C</w:t>
      </w:r>
      <w:r>
        <w:rPr>
          <w:szCs w:val="24"/>
        </w:rPr>
        <w:t>.</w:t>
      </w:r>
      <w:r w:rsidRPr="003E5E28">
        <w:rPr>
          <w:szCs w:val="24"/>
        </w:rPr>
        <w:t>F</w:t>
      </w:r>
      <w:r>
        <w:rPr>
          <w:szCs w:val="24"/>
        </w:rPr>
        <w:t>.</w:t>
      </w:r>
      <w:r w:rsidRPr="003E5E28">
        <w:rPr>
          <w:szCs w:val="24"/>
        </w:rPr>
        <w:t>R</w:t>
      </w:r>
      <w:r>
        <w:rPr>
          <w:szCs w:val="24"/>
        </w:rPr>
        <w:t>.</w:t>
      </w:r>
      <w:r w:rsidRPr="003E5E28">
        <w:rPr>
          <w:szCs w:val="24"/>
        </w:rPr>
        <w:t xml:space="preserve"> </w:t>
      </w:r>
      <w:r>
        <w:t xml:space="preserve">§ </w:t>
      </w:r>
      <w:r w:rsidRPr="003E5E28">
        <w:rPr>
          <w:szCs w:val="24"/>
        </w:rPr>
        <w:t>390.267, respectively, both of which</w:t>
      </w:r>
      <w:r w:rsidRPr="003E5E28">
        <w:rPr>
          <w:rFonts w:ascii="Georgia" w:hAnsi="Georgia" w:cs="Georgia"/>
          <w:sz w:val="20"/>
        </w:rPr>
        <w:t xml:space="preserve"> </w:t>
      </w:r>
      <w:r w:rsidRPr="003E5E28">
        <w:t xml:space="preserve">essentially track </w:t>
      </w:r>
      <w:r>
        <w:t>12 C.F.R. § 7.1016</w:t>
      </w:r>
      <w:r w:rsidRPr="003E5E28">
        <w:t>.</w:t>
      </w:r>
    </w:p>
    <w:p w14:paraId="53C7D5DB" w14:textId="77777777" w:rsidR="0025716F" w:rsidRDefault="0025716F" w:rsidP="0025716F">
      <w:pPr>
        <w:pStyle w:val="EndnoteText"/>
      </w:pPr>
    </w:p>
    <w:p w14:paraId="34640AD3" w14:textId="77777777" w:rsidR="0025716F" w:rsidRDefault="0025716F" w:rsidP="0025716F">
      <w:pPr>
        <w:pStyle w:val="EndnoteText"/>
      </w:pPr>
      <w:r>
        <w:t>Bank issued standby letters of credit are thus subject to regulatory restraints that have evolved to assure the safety and soundness of the banking system. Banking regulations are likely to evolve to address and sometimes prohibit or limit practices that are becoming or have become unsound. In developing requirements for standby letters of credit, government agencies should take bank regulatory restraints into account and avoid standby requirements that bank regulators might consider unsafe or unsound for bank issuers.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74A2" w14:textId="77777777" w:rsidR="00151656" w:rsidRPr="00772C52" w:rsidRDefault="0025716F" w:rsidP="00C97FE2">
    <w:pPr>
      <w:rPr>
        <w:sz w:val="20"/>
      </w:rPr>
    </w:pPr>
    <w:r w:rsidRPr="00772C52">
      <w:rPr>
        <w:sz w:val="20"/>
      </w:rPr>
      <w:t>Copyright 2010 Institute of International Banking Law &amp; Practice, Inc. This Model Form may be reproduced and distributed provided that it is done without change or charge and that this copyright notice is reproduced in full together with the following statement:</w:t>
    </w:r>
  </w:p>
  <w:p w14:paraId="44CB4EBB" w14:textId="77777777" w:rsidR="00151656" w:rsidRPr="00772C52" w:rsidRDefault="00151656" w:rsidP="00C97FE2">
    <w:pPr>
      <w:rPr>
        <w:sz w:val="20"/>
      </w:rPr>
    </w:pPr>
  </w:p>
  <w:p w14:paraId="46983AB8" w14:textId="77777777" w:rsidR="00151656" w:rsidRPr="00772C52" w:rsidRDefault="0025716F" w:rsidP="00C97FE2">
    <w:pPr>
      <w:rPr>
        <w:sz w:val="20"/>
      </w:rPr>
    </w:pPr>
    <w:r w:rsidRPr="00772C52">
      <w:rPr>
        <w:sz w:val="20"/>
      </w:rPr>
      <w:t xml:space="preserve">These forms supplement the International Standby Practices (ISP98) which is available from the Institute of International Banking Law &amp; Practice, Inc. at </w:t>
    </w:r>
    <w:hyperlink r:id="rId1" w:history="1">
      <w:r w:rsidRPr="00772C52">
        <w:rPr>
          <w:rStyle w:val="Hyperlink"/>
          <w:sz w:val="20"/>
        </w:rPr>
        <w:t>www.iiblp.org</w:t>
      </w:r>
    </w:hyperlink>
    <w:r w:rsidRPr="00772C52">
      <w:rPr>
        <w:sz w:val="20"/>
      </w:rPr>
      <w:t xml:space="preserve">. Interpretative, educational, and training materials are available from the Institute including </w:t>
    </w:r>
    <w:r w:rsidRPr="00772C52">
      <w:rPr>
        <w:i/>
        <w:iCs/>
        <w:sz w:val="20"/>
      </w:rPr>
      <w:t>The Official Commentary on the International Standby Practices</w:t>
    </w:r>
    <w:r w:rsidRPr="00772C52">
      <w:rPr>
        <w:sz w:val="20"/>
      </w:rPr>
      <w:t xml:space="preserve"> (2</w:t>
    </w:r>
    <w:r w:rsidRPr="00772C52">
      <w:rPr>
        <w:sz w:val="20"/>
        <w:vertAlign w:val="superscript"/>
      </w:rPr>
      <w:t>nd</w:t>
    </w:r>
    <w:r w:rsidRPr="00772C52">
      <w:rPr>
        <w:sz w:val="20"/>
      </w:rPr>
      <w:t xml:space="preserve"> Edition 2011) which contains official interpretations by the Council on I</w:t>
    </w:r>
    <w:r>
      <w:rPr>
        <w:sz w:val="20"/>
      </w:rPr>
      <w:t>nternational Standby Practices.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401F" w14:textId="77777777" w:rsidR="00151656" w:rsidRDefault="0025716F">
    <w:pPr>
      <w:pStyle w:val="Footer"/>
      <w:jc w:val="center"/>
    </w:pPr>
    <w:r>
      <w:fldChar w:fldCharType="begin"/>
    </w:r>
    <w:r>
      <w:instrText xml:space="preserve"> PAGE   \* MERGEFORMAT </w:instrText>
    </w:r>
    <w:r>
      <w:fldChar w:fldCharType="separate"/>
    </w:r>
    <w:r w:rsidR="008363D6">
      <w:rPr>
        <w:noProof/>
      </w:rPr>
      <w:t>21</w:t>
    </w:r>
    <w:r>
      <w:rPr>
        <w:noProof/>
      </w:rPr>
      <w:fldChar w:fldCharType="end"/>
    </w:r>
  </w:p>
  <w:p w14:paraId="1507A5DA" w14:textId="77777777" w:rsidR="00151656" w:rsidRDefault="00151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282181"/>
      <w:docPartObj>
        <w:docPartGallery w:val="Page Numbers (Bottom of Page)"/>
        <w:docPartUnique/>
      </w:docPartObj>
    </w:sdtPr>
    <w:sdtEndPr>
      <w:rPr>
        <w:noProof/>
      </w:rPr>
    </w:sdtEndPr>
    <w:sdtContent>
      <w:p w14:paraId="100F45A7" w14:textId="77777777" w:rsidR="00151656" w:rsidRDefault="0025716F">
        <w:pPr>
          <w:pStyle w:val="Footer"/>
          <w:jc w:val="center"/>
        </w:pPr>
        <w:r>
          <w:fldChar w:fldCharType="begin"/>
        </w:r>
        <w:r>
          <w:instrText xml:space="preserve"> PAGE   \* MERGEFORMAT </w:instrText>
        </w:r>
        <w:r>
          <w:fldChar w:fldCharType="separate"/>
        </w:r>
        <w:r w:rsidR="008363D6">
          <w:rPr>
            <w:noProof/>
          </w:rPr>
          <w:t>1</w:t>
        </w:r>
        <w:r>
          <w:rPr>
            <w:noProof/>
          </w:rPr>
          <w:fldChar w:fldCharType="end"/>
        </w:r>
      </w:p>
    </w:sdtContent>
  </w:sdt>
  <w:p w14:paraId="34EFC47A" w14:textId="77777777" w:rsidR="00151656" w:rsidRDefault="00151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B940" w14:textId="77777777" w:rsidR="00BF517D" w:rsidRDefault="00BF517D" w:rsidP="0025716F">
      <w:r>
        <w:separator/>
      </w:r>
    </w:p>
  </w:footnote>
  <w:footnote w:type="continuationSeparator" w:id="0">
    <w:p w14:paraId="19260652" w14:textId="77777777" w:rsidR="00BF517D" w:rsidRDefault="00BF517D" w:rsidP="00257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152C" w14:textId="77777777" w:rsidR="00151656" w:rsidRDefault="00151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46522" w14:textId="77777777" w:rsidR="00151656" w:rsidRPr="002148CA" w:rsidRDefault="00151656" w:rsidP="00C97FE2">
    <w:pPr>
      <w:pStyle w:val="Header"/>
      <w:tabs>
        <w:tab w:val="clear" w:pos="4680"/>
        <w:tab w:val="clear" w:pos="9360"/>
        <w:tab w:val="left" w:pos="1725"/>
      </w:tabs>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lowerLette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6F"/>
    <w:rsid w:val="00001212"/>
    <w:rsid w:val="00105648"/>
    <w:rsid w:val="00151656"/>
    <w:rsid w:val="001934F6"/>
    <w:rsid w:val="0025716F"/>
    <w:rsid w:val="00281129"/>
    <w:rsid w:val="002A35E5"/>
    <w:rsid w:val="002D78B4"/>
    <w:rsid w:val="002E35F3"/>
    <w:rsid w:val="003C0DCF"/>
    <w:rsid w:val="003C2B05"/>
    <w:rsid w:val="003D6778"/>
    <w:rsid w:val="00514BC0"/>
    <w:rsid w:val="005332D4"/>
    <w:rsid w:val="005530FE"/>
    <w:rsid w:val="005E4F4B"/>
    <w:rsid w:val="00622468"/>
    <w:rsid w:val="006813D1"/>
    <w:rsid w:val="006A10A2"/>
    <w:rsid w:val="006D3CD5"/>
    <w:rsid w:val="0076731D"/>
    <w:rsid w:val="007E3106"/>
    <w:rsid w:val="008363D6"/>
    <w:rsid w:val="008B78C7"/>
    <w:rsid w:val="008C6490"/>
    <w:rsid w:val="008E485B"/>
    <w:rsid w:val="008F33A8"/>
    <w:rsid w:val="009538A6"/>
    <w:rsid w:val="00A10985"/>
    <w:rsid w:val="00A31F1D"/>
    <w:rsid w:val="00A44194"/>
    <w:rsid w:val="00B408F5"/>
    <w:rsid w:val="00B83BBE"/>
    <w:rsid w:val="00BF4DD6"/>
    <w:rsid w:val="00BF517D"/>
    <w:rsid w:val="00C144CC"/>
    <w:rsid w:val="00C40A37"/>
    <w:rsid w:val="00D3569D"/>
    <w:rsid w:val="00DB3F4C"/>
    <w:rsid w:val="00DE6500"/>
    <w:rsid w:val="00E210F3"/>
    <w:rsid w:val="00E63A03"/>
    <w:rsid w:val="00F424B7"/>
    <w:rsid w:val="00F43A14"/>
    <w:rsid w:val="00F8274C"/>
    <w:rsid w:val="00F91985"/>
    <w:rsid w:val="00FB5A4B"/>
    <w:rsid w:val="00FE3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9556"/>
  <w15:docId w15:val="{3FC280F2-10E3-448C-BE9E-92A58CA5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6F"/>
    <w:rPr>
      <w:rFonts w:eastAsia="Times New Roman"/>
      <w:szCs w:val="20"/>
    </w:rPr>
  </w:style>
  <w:style w:type="paragraph" w:styleId="Heading1">
    <w:name w:val="heading 1"/>
    <w:basedOn w:val="Normal"/>
    <w:next w:val="Normal"/>
    <w:link w:val="Heading1Char"/>
    <w:qFormat/>
    <w:rsid w:val="0025716F"/>
    <w:pPr>
      <w:keepNext/>
      <w:keepLines/>
      <w:outlineLvl w:val="0"/>
    </w:pPr>
    <w:rPr>
      <w:rFonts w:ascii="Times" w:eastAsiaTheme="majorEastAsia" w:hAnsi="Times" w:cstheme="majorBidi"/>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16F"/>
    <w:rPr>
      <w:rFonts w:ascii="Times" w:eastAsiaTheme="majorEastAsia" w:hAnsi="Times" w:cstheme="majorBidi"/>
      <w:bCs/>
      <w:szCs w:val="32"/>
    </w:rPr>
  </w:style>
  <w:style w:type="paragraph" w:styleId="BalloonText">
    <w:name w:val="Balloon Text"/>
    <w:basedOn w:val="Normal"/>
    <w:link w:val="BalloonTextChar1"/>
    <w:uiPriority w:val="99"/>
    <w:semiHidden/>
    <w:unhideWhenUsed/>
    <w:rsid w:val="0025716F"/>
    <w:rPr>
      <w:rFonts w:ascii="Tahoma" w:hAnsi="Tahoma" w:cs="Tahoma"/>
      <w:sz w:val="16"/>
      <w:szCs w:val="16"/>
    </w:rPr>
  </w:style>
  <w:style w:type="character" w:customStyle="1" w:styleId="BalloonTextChar">
    <w:name w:val="Balloon Text Char"/>
    <w:basedOn w:val="DefaultParagraphFont"/>
    <w:uiPriority w:val="99"/>
    <w:semiHidden/>
    <w:rsid w:val="0025716F"/>
    <w:rPr>
      <w:rFonts w:ascii="Tahoma" w:eastAsia="Times New Roman" w:hAnsi="Tahoma" w:cs="Tahoma"/>
      <w:sz w:val="16"/>
      <w:szCs w:val="16"/>
    </w:rPr>
  </w:style>
  <w:style w:type="paragraph" w:styleId="Header">
    <w:name w:val="header"/>
    <w:basedOn w:val="Normal"/>
    <w:link w:val="HeaderChar"/>
    <w:rsid w:val="0025716F"/>
    <w:pPr>
      <w:tabs>
        <w:tab w:val="center" w:pos="4680"/>
        <w:tab w:val="right" w:pos="9360"/>
      </w:tabs>
    </w:pPr>
  </w:style>
  <w:style w:type="character" w:customStyle="1" w:styleId="HeaderChar">
    <w:name w:val="Header Char"/>
    <w:basedOn w:val="DefaultParagraphFont"/>
    <w:link w:val="Header"/>
    <w:rsid w:val="0025716F"/>
    <w:rPr>
      <w:rFonts w:eastAsia="Times New Roman"/>
      <w:szCs w:val="20"/>
    </w:rPr>
  </w:style>
  <w:style w:type="character" w:styleId="EndnoteReference">
    <w:name w:val="endnote reference"/>
    <w:uiPriority w:val="99"/>
    <w:semiHidden/>
    <w:rsid w:val="0025716F"/>
    <w:rPr>
      <w:vertAlign w:val="superscript"/>
    </w:rPr>
  </w:style>
  <w:style w:type="paragraph" w:customStyle="1" w:styleId="EndnoteTextWP">
    <w:name w:val="Endnote Text_WP"/>
    <w:basedOn w:val="Normal"/>
    <w:link w:val="EndnoteTextWPChar"/>
    <w:rsid w:val="0025716F"/>
    <w:pPr>
      <w:widowControl w:val="0"/>
    </w:pPr>
  </w:style>
  <w:style w:type="paragraph" w:styleId="EndnoteText">
    <w:name w:val="endnote text"/>
    <w:basedOn w:val="Normal"/>
    <w:link w:val="EndnoteTextChar"/>
    <w:uiPriority w:val="99"/>
    <w:semiHidden/>
    <w:rsid w:val="0025716F"/>
    <w:pPr>
      <w:widowControl w:val="0"/>
    </w:pPr>
  </w:style>
  <w:style w:type="character" w:customStyle="1" w:styleId="EndnoteTextChar">
    <w:name w:val="Endnote Text Char"/>
    <w:basedOn w:val="DefaultParagraphFont"/>
    <w:link w:val="EndnoteText"/>
    <w:uiPriority w:val="99"/>
    <w:semiHidden/>
    <w:rsid w:val="0025716F"/>
    <w:rPr>
      <w:rFonts w:eastAsia="Times New Roman"/>
      <w:szCs w:val="20"/>
    </w:rPr>
  </w:style>
  <w:style w:type="character" w:customStyle="1" w:styleId="QuickFormat2">
    <w:name w:val="QuickFormat2"/>
    <w:rsid w:val="0025716F"/>
    <w:rPr>
      <w:color w:val="000000"/>
      <w:sz w:val="24"/>
    </w:rPr>
  </w:style>
  <w:style w:type="paragraph" w:styleId="Footer">
    <w:name w:val="footer"/>
    <w:basedOn w:val="Normal"/>
    <w:link w:val="FooterChar"/>
    <w:uiPriority w:val="99"/>
    <w:rsid w:val="0025716F"/>
    <w:pPr>
      <w:tabs>
        <w:tab w:val="center" w:pos="4680"/>
        <w:tab w:val="right" w:pos="9360"/>
      </w:tabs>
    </w:pPr>
  </w:style>
  <w:style w:type="character" w:customStyle="1" w:styleId="FooterChar">
    <w:name w:val="Footer Char"/>
    <w:basedOn w:val="DefaultParagraphFont"/>
    <w:link w:val="Footer"/>
    <w:uiPriority w:val="99"/>
    <w:rsid w:val="0025716F"/>
    <w:rPr>
      <w:rFonts w:eastAsia="Times New Roman"/>
      <w:szCs w:val="20"/>
    </w:rPr>
  </w:style>
  <w:style w:type="character" w:customStyle="1" w:styleId="EndnoteTextWPChar">
    <w:name w:val="Endnote Text_WP Char"/>
    <w:link w:val="EndnoteTextWP"/>
    <w:rsid w:val="0025716F"/>
    <w:rPr>
      <w:rFonts w:eastAsia="Times New Roman"/>
      <w:szCs w:val="20"/>
    </w:rPr>
  </w:style>
  <w:style w:type="character" w:styleId="Hyperlink">
    <w:name w:val="Hyperlink"/>
    <w:rsid w:val="0025716F"/>
    <w:rPr>
      <w:color w:val="0000FF"/>
      <w:u w:val="single"/>
    </w:rPr>
  </w:style>
  <w:style w:type="character" w:styleId="Emphasis">
    <w:name w:val="Emphasis"/>
    <w:qFormat/>
    <w:rsid w:val="0025716F"/>
    <w:rPr>
      <w:rFonts w:cs="Times New Roman"/>
      <w:i/>
      <w:iCs/>
    </w:rPr>
  </w:style>
  <w:style w:type="paragraph" w:styleId="TOC1">
    <w:name w:val="toc 1"/>
    <w:basedOn w:val="Normal"/>
    <w:next w:val="Normal"/>
    <w:autoRedefine/>
    <w:uiPriority w:val="39"/>
    <w:rsid w:val="0025716F"/>
    <w:pPr>
      <w:spacing w:before="120"/>
    </w:pPr>
    <w:rPr>
      <w:rFonts w:ascii="Times" w:hAnsi="Times"/>
      <w:szCs w:val="24"/>
    </w:rPr>
  </w:style>
  <w:style w:type="paragraph" w:styleId="TOCHeading">
    <w:name w:val="TOC Heading"/>
    <w:basedOn w:val="Heading1"/>
    <w:next w:val="Normal"/>
    <w:uiPriority w:val="39"/>
    <w:unhideWhenUsed/>
    <w:qFormat/>
    <w:rsid w:val="0025716F"/>
    <w:pPr>
      <w:spacing w:before="480" w:line="276" w:lineRule="auto"/>
      <w:outlineLvl w:val="9"/>
    </w:pPr>
    <w:rPr>
      <w:rFonts w:asciiTheme="majorHAnsi" w:hAnsiTheme="majorHAnsi"/>
      <w:b/>
      <w:color w:val="365F91" w:themeColor="accent1" w:themeShade="BF"/>
      <w:sz w:val="28"/>
      <w:szCs w:val="28"/>
    </w:rPr>
  </w:style>
  <w:style w:type="character" w:styleId="LineNumber">
    <w:name w:val="line number"/>
    <w:basedOn w:val="DefaultParagraphFont"/>
    <w:uiPriority w:val="99"/>
    <w:semiHidden/>
    <w:unhideWhenUsed/>
    <w:rsid w:val="0025716F"/>
  </w:style>
  <w:style w:type="character" w:customStyle="1" w:styleId="BalloonTextChar1">
    <w:name w:val="Balloon Text Char1"/>
    <w:basedOn w:val="DefaultParagraphFont"/>
    <w:link w:val="BalloonText"/>
    <w:uiPriority w:val="99"/>
    <w:semiHidden/>
    <w:rsid w:val="0025716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5716F"/>
    <w:rPr>
      <w:sz w:val="16"/>
      <w:szCs w:val="16"/>
    </w:rPr>
  </w:style>
  <w:style w:type="paragraph" w:styleId="CommentText">
    <w:name w:val="annotation text"/>
    <w:basedOn w:val="Normal"/>
    <w:link w:val="CommentTextChar"/>
    <w:uiPriority w:val="99"/>
    <w:semiHidden/>
    <w:unhideWhenUsed/>
    <w:rsid w:val="0025716F"/>
    <w:rPr>
      <w:sz w:val="20"/>
    </w:rPr>
  </w:style>
  <w:style w:type="character" w:customStyle="1" w:styleId="CommentTextChar">
    <w:name w:val="Comment Text Char"/>
    <w:basedOn w:val="DefaultParagraphFont"/>
    <w:link w:val="CommentText"/>
    <w:uiPriority w:val="99"/>
    <w:semiHidden/>
    <w:rsid w:val="0025716F"/>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5716F"/>
    <w:rPr>
      <w:b/>
      <w:bCs/>
    </w:rPr>
  </w:style>
  <w:style w:type="character" w:customStyle="1" w:styleId="CommentSubjectChar">
    <w:name w:val="Comment Subject Char"/>
    <w:basedOn w:val="CommentTextChar"/>
    <w:link w:val="CommentSubject"/>
    <w:uiPriority w:val="99"/>
    <w:semiHidden/>
    <w:rsid w:val="0025716F"/>
    <w:rPr>
      <w:rFonts w:eastAsia="Times New Roman"/>
      <w:b/>
      <w:bCs/>
      <w:sz w:val="20"/>
      <w:szCs w:val="20"/>
    </w:rPr>
  </w:style>
  <w:style w:type="paragraph" w:styleId="Revision">
    <w:name w:val="Revision"/>
    <w:hidden/>
    <w:uiPriority w:val="99"/>
    <w:semiHidden/>
    <w:rsid w:val="0025716F"/>
    <w:rPr>
      <w:rFonts w:eastAsia="Times New Roman"/>
      <w:szCs w:val="20"/>
    </w:rPr>
  </w:style>
  <w:style w:type="character" w:styleId="FollowedHyperlink">
    <w:name w:val="FollowedHyperlink"/>
    <w:basedOn w:val="DefaultParagraphFont"/>
    <w:uiPriority w:val="99"/>
    <w:semiHidden/>
    <w:unhideWhenUsed/>
    <w:rsid w:val="002571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citral.org/pdf/english/texts_endorsed/ISP98_e.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iblp.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iblp.org" TargetMode="Externa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topics.law.cornell.edu/wex/table_ucc"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ibl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460B-F8AF-46EC-911C-EEB520D9C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27</Pages>
  <Words>2419</Words>
  <Characters>14057</Characters>
  <Application>Microsoft Office Word</Application>
  <DocSecurity>0</DocSecurity>
  <Lines>439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Michael Byrne</cp:lastModifiedBy>
  <cp:revision>8</cp:revision>
  <cp:lastPrinted>2014-11-05T15:54:00Z</cp:lastPrinted>
  <dcterms:created xsi:type="dcterms:W3CDTF">2025-01-27T21:29:00Z</dcterms:created>
  <dcterms:modified xsi:type="dcterms:W3CDTF">2025-10-09T14:04:00Z</dcterms:modified>
</cp:coreProperties>
</file>