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BB4A38">
      <w:pPr>
        <w:shd w:val="clear" w:color="auto" w:fill="FFFFFF"/>
        <w:ind w:left="420" w:hanging="420"/>
        <w:jc w:val="center"/>
        <w:textAlignment w:val="baseline"/>
        <w:rPr>
          <w:sz w:val="40"/>
          <w:szCs w:val="44"/>
        </w:rPr>
      </w:pPr>
      <w:r>
        <w:rPr>
          <w:rFonts w:hint="eastAsia"/>
          <w:sz w:val="40"/>
          <w:szCs w:val="44"/>
        </w:rPr>
        <w:t>Rotary Tiller Instruction Manual旋耕机说明书</w:t>
      </w:r>
    </w:p>
    <w:p w14:paraId="2D3DCB57">
      <w:pPr>
        <w:widowControl/>
        <w:spacing w:line="390" w:lineRule="atLeast"/>
        <w:jc w:val="left"/>
        <w:textAlignment w:val="baseline"/>
        <w:rPr>
          <w:rFonts w:cs="Helvetica" w:asciiTheme="minorEastAsia" w:hAnsiTheme="minorEastAsia"/>
          <w:kern w:val="0"/>
          <w:szCs w:val="21"/>
        </w:rPr>
      </w:pPr>
    </w:p>
    <w:p w14:paraId="4E67C317">
      <w:pPr>
        <w:pStyle w:val="11"/>
        <w:widowControl/>
        <w:numPr>
          <w:ilvl w:val="0"/>
          <w:numId w:val="1"/>
        </w:numPr>
        <w:spacing w:line="390" w:lineRule="atLeast"/>
        <w:ind w:firstLineChars="0"/>
        <w:jc w:val="left"/>
        <w:textAlignment w:val="baseline"/>
        <w:rPr>
          <w:rFonts w:cs="Helvetica" w:asciiTheme="minorEastAsia" w:hAnsiTheme="minorEastAsia"/>
          <w:kern w:val="0"/>
          <w:sz w:val="28"/>
          <w:szCs w:val="28"/>
        </w:rPr>
      </w:pPr>
      <w:r>
        <w:rPr>
          <w:rFonts w:hint="eastAsia" w:cs="Helvetica" w:asciiTheme="minorEastAsia" w:hAnsiTheme="minorEastAsia"/>
          <w:kern w:val="0"/>
          <w:sz w:val="28"/>
          <w:szCs w:val="28"/>
        </w:rPr>
        <w:t>This is a skid steer loader and rotary tiller这是一款滑移</w:t>
      </w:r>
      <w:r>
        <w:rPr>
          <w:rFonts w:cs="Helvetica" w:asciiTheme="minorEastAsia" w:hAnsiTheme="minorEastAsia"/>
          <w:kern w:val="0"/>
          <w:sz w:val="28"/>
          <w:szCs w:val="28"/>
        </w:rPr>
        <w:t>装载机</w:t>
      </w:r>
      <w:r>
        <w:rPr>
          <w:rFonts w:hint="eastAsia" w:cs="Helvetica" w:asciiTheme="minorEastAsia" w:hAnsiTheme="minorEastAsia"/>
          <w:kern w:val="0"/>
          <w:sz w:val="28"/>
          <w:szCs w:val="28"/>
        </w:rPr>
        <w:t>旋耕机</w:t>
      </w:r>
      <w:r>
        <w:rPr>
          <w:rFonts w:cs="Helvetica" w:asciiTheme="minorEastAsia" w:hAnsiTheme="minorEastAsia"/>
          <w:kern w:val="0"/>
          <w:sz w:val="28"/>
          <w:szCs w:val="28"/>
        </w:rPr>
        <w:t>。</w:t>
      </w:r>
    </w:p>
    <w:p w14:paraId="7DB424D7">
      <w:pPr>
        <w:pStyle w:val="11"/>
        <w:widowControl/>
        <w:numPr>
          <w:ilvl w:val="0"/>
          <w:numId w:val="1"/>
        </w:numPr>
        <w:spacing w:line="390" w:lineRule="atLeast"/>
        <w:ind w:firstLineChars="0"/>
        <w:jc w:val="left"/>
        <w:textAlignment w:val="baseline"/>
        <w:rPr>
          <w:rFonts w:cs="Helvetica" w:asciiTheme="minorEastAsia" w:hAnsiTheme="minorEastAsia"/>
          <w:kern w:val="0"/>
          <w:sz w:val="28"/>
          <w:szCs w:val="28"/>
        </w:rPr>
      </w:pPr>
      <w:r>
        <w:rPr>
          <w:rFonts w:hint="eastAsia" w:cs="Helvetica" w:asciiTheme="minorEastAsia" w:hAnsiTheme="minorEastAsia"/>
          <w:kern w:val="0"/>
          <w:sz w:val="28"/>
          <w:szCs w:val="28"/>
        </w:rPr>
        <w:t>2050mm wide x 713mm high x676mm long, weighing 230kg</w:t>
      </w:r>
      <w:r>
        <w:rPr>
          <w:rFonts w:hint="eastAsia" w:cs="Helvetica" w:asciiTheme="minorEastAsia" w:hAnsiTheme="minorEastAsia"/>
          <w:kern w:val="0"/>
          <w:sz w:val="28"/>
          <w:szCs w:val="28"/>
          <w:lang w:val="en-US" w:eastAsia="zh-CN"/>
        </w:rPr>
        <w:t xml:space="preserve">; </w:t>
      </w:r>
      <w:r>
        <w:rPr>
          <w:rFonts w:cs="Helvetica" w:asciiTheme="minorEastAsia" w:hAnsiTheme="minorEastAsia"/>
          <w:kern w:val="0"/>
          <w:sz w:val="28"/>
          <w:szCs w:val="28"/>
        </w:rPr>
        <w:t>2050</w:t>
      </w:r>
      <w:r>
        <w:rPr>
          <w:rFonts w:hint="eastAsia" w:cs="Helvetica" w:asciiTheme="minorEastAsia" w:hAnsiTheme="minorEastAsia"/>
          <w:kern w:val="0"/>
          <w:sz w:val="28"/>
          <w:szCs w:val="28"/>
        </w:rPr>
        <w:t>mm</w:t>
      </w:r>
      <w:r>
        <w:rPr>
          <w:rFonts w:cs="Helvetica" w:asciiTheme="minorEastAsia" w:hAnsiTheme="minorEastAsia"/>
          <w:kern w:val="0"/>
          <w:sz w:val="28"/>
          <w:szCs w:val="28"/>
        </w:rPr>
        <w:t>宽 x 713</w:t>
      </w:r>
      <w:r>
        <w:rPr>
          <w:rFonts w:hint="eastAsia" w:cs="Helvetica" w:asciiTheme="minorEastAsia" w:hAnsiTheme="minorEastAsia"/>
          <w:kern w:val="0"/>
          <w:sz w:val="28"/>
          <w:szCs w:val="28"/>
        </w:rPr>
        <w:t>mm</w:t>
      </w:r>
      <w:r>
        <w:rPr>
          <w:rFonts w:cs="Helvetica" w:asciiTheme="minorEastAsia" w:hAnsiTheme="minorEastAsia"/>
          <w:kern w:val="0"/>
          <w:sz w:val="28"/>
          <w:szCs w:val="28"/>
        </w:rPr>
        <w:t>高 x676</w:t>
      </w:r>
      <w:r>
        <w:rPr>
          <w:rFonts w:hint="eastAsia" w:cs="Helvetica" w:asciiTheme="minorEastAsia" w:hAnsiTheme="minorEastAsia"/>
          <w:kern w:val="0"/>
          <w:sz w:val="28"/>
          <w:szCs w:val="28"/>
        </w:rPr>
        <w:t>mm长，重2</w:t>
      </w:r>
      <w:r>
        <w:rPr>
          <w:rFonts w:cs="Helvetica" w:asciiTheme="minorEastAsia" w:hAnsiTheme="minorEastAsia"/>
          <w:kern w:val="0"/>
          <w:sz w:val="28"/>
          <w:szCs w:val="28"/>
        </w:rPr>
        <w:t>30</w:t>
      </w:r>
      <w:r>
        <w:rPr>
          <w:rFonts w:hint="eastAsia" w:cs="Helvetica" w:asciiTheme="minorEastAsia" w:hAnsiTheme="minorEastAsia"/>
          <w:kern w:val="0"/>
          <w:sz w:val="28"/>
          <w:szCs w:val="28"/>
        </w:rPr>
        <w:t>kg</w:t>
      </w:r>
    </w:p>
    <w:p w14:paraId="16774C7C">
      <w:pPr>
        <w:pStyle w:val="11"/>
        <w:widowControl/>
        <w:numPr>
          <w:ilvl w:val="0"/>
          <w:numId w:val="1"/>
        </w:numPr>
        <w:spacing w:line="390" w:lineRule="atLeast"/>
        <w:ind w:firstLineChars="0"/>
        <w:jc w:val="left"/>
        <w:textAlignment w:val="baseline"/>
        <w:rPr>
          <w:rFonts w:cs="Helvetica" w:asciiTheme="minorEastAsia" w:hAnsiTheme="minorEastAsia"/>
          <w:kern w:val="0"/>
          <w:sz w:val="28"/>
          <w:szCs w:val="28"/>
        </w:rPr>
      </w:pPr>
      <w:r>
        <w:rPr>
          <w:rFonts w:hint="eastAsia" w:cs="Helvetica" w:asciiTheme="minorEastAsia" w:hAnsiTheme="minorEastAsia"/>
          <w:kern w:val="0"/>
          <w:sz w:val="28"/>
          <w:szCs w:val="28"/>
        </w:rPr>
        <w:t>Hydraulic motor drive, chain two-stage transmission液压马达驱动，链条二级传动。</w:t>
      </w:r>
    </w:p>
    <w:p w14:paraId="02F643FF">
      <w:pPr>
        <w:pStyle w:val="11"/>
        <w:widowControl/>
        <w:numPr>
          <w:ilvl w:val="0"/>
          <w:numId w:val="1"/>
        </w:numPr>
        <w:spacing w:line="390" w:lineRule="atLeast"/>
        <w:ind w:firstLineChars="0"/>
        <w:jc w:val="left"/>
        <w:textAlignment w:val="baseline"/>
        <w:rPr>
          <w:rFonts w:cs="Helvetica" w:asciiTheme="minorEastAsia" w:hAnsiTheme="minorEastAsia"/>
          <w:kern w:val="0"/>
          <w:sz w:val="28"/>
          <w:szCs w:val="28"/>
        </w:rPr>
      </w:pPr>
      <w:r>
        <w:rPr>
          <w:rFonts w:hint="eastAsia" w:cs="Helvetica" w:asciiTheme="minorEastAsia" w:hAnsiTheme="minorEastAsia"/>
          <w:kern w:val="0"/>
          <w:sz w:val="28"/>
          <w:szCs w:val="28"/>
        </w:rPr>
        <w:t>G1/2 quick connectorG1/2快速接头</w:t>
      </w:r>
    </w:p>
    <w:p w14:paraId="3C9B32BA">
      <w:pPr>
        <w:pStyle w:val="11"/>
        <w:widowControl/>
        <w:numPr>
          <w:ilvl w:val="0"/>
          <w:numId w:val="1"/>
        </w:numPr>
        <w:spacing w:line="390" w:lineRule="atLeast"/>
        <w:ind w:firstLineChars="0"/>
        <w:jc w:val="left"/>
        <w:textAlignment w:val="baseline"/>
        <w:rPr>
          <w:rFonts w:ascii="Helvetica" w:hAnsi="Helvetica" w:eastAsia="宋体" w:cs="Helvetica"/>
          <w:kern w:val="0"/>
          <w:sz w:val="28"/>
          <w:szCs w:val="28"/>
        </w:rPr>
      </w:pPr>
      <w:r>
        <w:rPr>
          <w:rFonts w:hint="eastAsia" w:cs="Helvetica" w:asciiTheme="minorEastAsia" w:hAnsiTheme="minorEastAsia"/>
          <w:kern w:val="0"/>
          <w:sz w:val="28"/>
          <w:szCs w:val="28"/>
        </w:rPr>
        <w:t>The blade is made of 65Mn刀片采用6</w:t>
      </w:r>
      <w:r>
        <w:rPr>
          <w:rFonts w:cs="Helvetica" w:asciiTheme="minorEastAsia" w:hAnsiTheme="minorEastAsia"/>
          <w:kern w:val="0"/>
          <w:sz w:val="28"/>
          <w:szCs w:val="28"/>
        </w:rPr>
        <w:t>5</w:t>
      </w:r>
      <w:r>
        <w:rPr>
          <w:rFonts w:hint="eastAsia" w:cs="Helvetica" w:asciiTheme="minorEastAsia" w:hAnsiTheme="minorEastAsia"/>
          <w:kern w:val="0"/>
          <w:sz w:val="28"/>
          <w:szCs w:val="28"/>
        </w:rPr>
        <w:t>Mn制成</w:t>
      </w:r>
    </w:p>
    <w:p w14:paraId="28F5E00B">
      <w:pPr>
        <w:pStyle w:val="11"/>
        <w:widowControl/>
        <w:numPr>
          <w:ilvl w:val="0"/>
          <w:numId w:val="1"/>
        </w:numPr>
        <w:spacing w:line="390" w:lineRule="atLeast"/>
        <w:ind w:firstLineChars="0"/>
        <w:jc w:val="left"/>
        <w:textAlignment w:val="baseline"/>
        <w:rPr>
          <w:rFonts w:ascii="Helvetica" w:hAnsi="Helvetica" w:eastAsia="宋体" w:cs="Helvetica"/>
          <w:kern w:val="0"/>
          <w:sz w:val="28"/>
          <w:szCs w:val="28"/>
        </w:rPr>
      </w:pPr>
      <w:r>
        <w:rPr>
          <w:rFonts w:hint="eastAsia" w:cs="Helvetica" w:asciiTheme="minorEastAsia" w:hAnsiTheme="minorEastAsia"/>
          <w:sz w:val="28"/>
          <w:szCs w:val="28"/>
          <w:shd w:val="clear" w:color="auto" w:fill="FFFFFF"/>
        </w:rPr>
        <w:t>It can be used for loosening the soil in gardens可用于园林土壤翻松。</w:t>
      </w:r>
    </w:p>
    <w:p w14:paraId="7BA0C1A3">
      <w:pPr>
        <w:pStyle w:val="6"/>
        <w:numPr>
          <w:ilvl w:val="0"/>
          <w:numId w:val="1"/>
        </w:numPr>
        <w:shd w:val="clear" w:color="auto" w:fill="FFFFFF"/>
        <w:spacing w:before="0" w:beforeAutospacing="0" w:after="0" w:afterAutospacing="0"/>
        <w:textAlignment w:val="baseline"/>
        <w:rPr>
          <w:rFonts w:asciiTheme="minorEastAsia" w:hAnsiTheme="minorEastAsia" w:eastAsiaTheme="minorEastAsia"/>
          <w:sz w:val="28"/>
          <w:szCs w:val="28"/>
          <w:shd w:val="clear" w:color="auto" w:fill="FFFFFF"/>
        </w:rPr>
      </w:pPr>
      <w:r>
        <w:rPr>
          <w:rFonts w:hint="eastAsia" w:asciiTheme="minorEastAsia" w:hAnsiTheme="minorEastAsia" w:eastAsiaTheme="minorEastAsia"/>
          <w:sz w:val="28"/>
          <w:szCs w:val="28"/>
          <w:shd w:val="clear" w:color="auto" w:fill="FFFFFF"/>
        </w:rPr>
        <w:t>The working depth can reach 160mm作业深度可以达到1</w:t>
      </w:r>
      <w:r>
        <w:rPr>
          <w:rFonts w:asciiTheme="minorEastAsia" w:hAnsiTheme="minorEastAsia" w:eastAsiaTheme="minorEastAsia"/>
          <w:sz w:val="28"/>
          <w:szCs w:val="28"/>
          <w:shd w:val="clear" w:color="auto" w:fill="FFFFFF"/>
        </w:rPr>
        <w:t>60</w:t>
      </w:r>
      <w:r>
        <w:rPr>
          <w:rFonts w:hint="eastAsia" w:asciiTheme="minorEastAsia" w:hAnsiTheme="minorEastAsia" w:eastAsiaTheme="minorEastAsia"/>
          <w:sz w:val="28"/>
          <w:szCs w:val="28"/>
          <w:shd w:val="clear" w:color="auto" w:fill="FFFFFF"/>
        </w:rPr>
        <w:t>mm，</w:t>
      </w:r>
    </w:p>
    <w:p w14:paraId="61317A88">
      <w:pPr>
        <w:pStyle w:val="11"/>
        <w:widowControl/>
        <w:numPr>
          <w:ilvl w:val="0"/>
          <w:numId w:val="1"/>
        </w:numPr>
        <w:spacing w:line="390" w:lineRule="atLeast"/>
        <w:ind w:firstLineChars="0"/>
        <w:jc w:val="left"/>
        <w:textAlignment w:val="baseline"/>
        <w:rPr>
          <w:rFonts w:ascii="Helvetica" w:hAnsi="Helvetica" w:eastAsia="宋体" w:cs="Helvetica"/>
          <w:kern w:val="0"/>
          <w:sz w:val="28"/>
          <w:szCs w:val="28"/>
        </w:rPr>
      </w:pPr>
      <w:r>
        <w:rPr>
          <w:rFonts w:hint="eastAsia" w:asciiTheme="minorEastAsia" w:hAnsiTheme="minorEastAsia" w:eastAsiaTheme="minorEastAsia" w:cstheme="minorEastAsia"/>
          <w:b w:val="0"/>
          <w:bCs w:val="0"/>
          <w:kern w:val="0"/>
          <w:sz w:val="28"/>
          <w:szCs w:val="28"/>
        </w:rPr>
        <w:t>Black powder coating</w:t>
      </w:r>
      <w:r>
        <w:rPr>
          <w:rFonts w:hint="eastAsia" w:ascii="Helvetica" w:hAnsi="Helvetica" w:eastAsia="宋体" w:cs="Helvetica"/>
          <w:kern w:val="0"/>
          <w:sz w:val="28"/>
          <w:szCs w:val="28"/>
        </w:rPr>
        <w:t>黑色</w:t>
      </w:r>
      <w:r>
        <w:rPr>
          <w:rFonts w:ascii="Helvetica" w:hAnsi="Helvetica" w:eastAsia="宋体" w:cs="Helvetica"/>
          <w:kern w:val="0"/>
          <w:sz w:val="28"/>
          <w:szCs w:val="28"/>
        </w:rPr>
        <w:t>粉末涂层</w:t>
      </w:r>
      <w:r>
        <w:rPr>
          <w:rFonts w:hint="eastAsia" w:ascii="Helvetica" w:hAnsi="Helvetica" w:eastAsia="宋体" w:cs="Helvetica"/>
          <w:kern w:val="0"/>
          <w:sz w:val="28"/>
          <w:szCs w:val="28"/>
        </w:rPr>
        <w:t>。</w:t>
      </w:r>
    </w:p>
    <w:p w14:paraId="42369809">
      <w:pPr>
        <w:pStyle w:val="11"/>
        <w:widowControl/>
        <w:spacing w:line="390" w:lineRule="atLeast"/>
        <w:ind w:left="420" w:firstLine="0" w:firstLineChars="0"/>
        <w:jc w:val="left"/>
        <w:textAlignment w:val="baseline"/>
        <w:rPr>
          <w:rFonts w:ascii="Helvetica" w:hAnsi="Helvetica" w:eastAsia="宋体" w:cs="Helvetica"/>
          <w:kern w:val="0"/>
          <w:szCs w:val="21"/>
        </w:rPr>
      </w:pPr>
    </w:p>
    <w:tbl>
      <w:tblPr>
        <w:tblStyle w:val="8"/>
        <w:tblpPr w:leftFromText="180" w:rightFromText="180" w:vertAnchor="text" w:horzAnchor="page" w:tblpX="11389" w:tblpY="21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992"/>
        <w:gridCol w:w="1058"/>
      </w:tblGrid>
      <w:tr w14:paraId="31E9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6B40F529">
            <w:pPr>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规格</w:t>
            </w:r>
            <w:r>
              <w:rPr>
                <w:rFonts w:hint="eastAsia" w:asciiTheme="minorEastAsia" w:hAnsiTheme="minorEastAsia" w:eastAsiaTheme="minorEastAsia" w:cstheme="minorEastAsia"/>
                <w:b w:val="0"/>
                <w:bCs w:val="0"/>
                <w:i w:val="0"/>
                <w:iCs w:val="0"/>
                <w:caps w:val="0"/>
                <w:color w:val="2A2B2E"/>
                <w:spacing w:val="0"/>
                <w:sz w:val="22"/>
                <w:szCs w:val="22"/>
                <w:shd w:val="clear" w:fill="FFFFFF"/>
              </w:rPr>
              <w:t>specification</w:t>
            </w:r>
          </w:p>
        </w:tc>
        <w:tc>
          <w:tcPr>
            <w:tcW w:w="992" w:type="dxa"/>
          </w:tcPr>
          <w:p w14:paraId="360A15D7">
            <w:pPr>
              <w:pStyle w:val="2"/>
              <w:shd w:val="clear" w:color="auto" w:fill="FFFFFF"/>
              <w:spacing w:before="0" w:beforeAutospacing="0" w:after="105" w:afterAutospacing="0"/>
              <w:rPr>
                <w:rFonts w:hint="eastAsia" w:asciiTheme="minorEastAsia" w:hAnsiTheme="minorEastAsia" w:eastAsiaTheme="minorEastAsia" w:cstheme="minorEastAsia"/>
                <w:b w:val="0"/>
                <w:sz w:val="24"/>
              </w:rPr>
            </w:pPr>
            <w:r>
              <w:rPr>
                <w:rFonts w:hint="eastAsia" w:asciiTheme="minorEastAsia" w:hAnsiTheme="minorEastAsia" w:eastAsiaTheme="minorEastAsia" w:cstheme="minorEastAsia"/>
                <w:b w:val="0"/>
                <w:sz w:val="24"/>
              </w:rPr>
              <w:t>单位</w:t>
            </w:r>
          </w:p>
          <w:p w14:paraId="3CB4A136">
            <w:pPr>
              <w:pStyle w:val="2"/>
              <w:shd w:val="clear" w:color="auto" w:fill="FFFFFF"/>
              <w:spacing w:before="0" w:beforeAutospacing="0" w:after="105" w:afterAutospacing="0"/>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sz w:val="24"/>
                <w:lang w:val="en-US" w:eastAsia="zh-CN"/>
              </w:rPr>
              <w:t>unit</w:t>
            </w:r>
          </w:p>
        </w:tc>
        <w:tc>
          <w:tcPr>
            <w:tcW w:w="1058" w:type="dxa"/>
          </w:tcPr>
          <w:p w14:paraId="3BF49AF8">
            <w:pPr>
              <w:pStyle w:val="2"/>
              <w:shd w:val="clear" w:color="auto" w:fill="FFFFFF"/>
              <w:spacing w:before="0" w:beforeAutospacing="0" w:after="105" w:afterAutospacing="0"/>
              <w:rPr>
                <w:rFonts w:hint="eastAsia" w:asciiTheme="minorEastAsia" w:hAnsiTheme="minorEastAsia" w:eastAsiaTheme="minorEastAsia" w:cstheme="minorEastAsia"/>
                <w:b w:val="0"/>
              </w:rPr>
            </w:pPr>
            <w:r>
              <w:rPr>
                <w:rFonts w:hint="eastAsia" w:asciiTheme="minorEastAsia" w:hAnsiTheme="minorEastAsia" w:eastAsiaTheme="minorEastAsia" w:cstheme="minorEastAsia"/>
                <w:b w:val="0"/>
                <w:sz w:val="24"/>
              </w:rPr>
              <w:t>72″</w:t>
            </w:r>
          </w:p>
        </w:tc>
      </w:tr>
      <w:tr w14:paraId="24F7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59B59DE">
            <w:pPr>
              <w:pStyle w:val="16"/>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width</w:t>
            </w:r>
            <w:r>
              <w:rPr>
                <w:rFonts w:hint="eastAsia" w:asciiTheme="minorEastAsia" w:hAnsiTheme="minorEastAsia" w:eastAsiaTheme="minorEastAsia" w:cstheme="minorEastAsia"/>
              </w:rPr>
              <w:t>宽度</w:t>
            </w:r>
            <w:r>
              <w:rPr>
                <w:rFonts w:hint="eastAsia" w:asciiTheme="minorEastAsia" w:hAnsiTheme="minorEastAsia" w:eastAsiaTheme="minorEastAsia" w:cstheme="minorEastAsia"/>
                <w:color w:val="333333"/>
                <w:szCs w:val="21"/>
                <w:shd w:val="clear" w:color="auto" w:fill="FFFFFF"/>
              </w:rPr>
              <w:t xml:space="preserve"> </w:t>
            </w:r>
          </w:p>
        </w:tc>
        <w:tc>
          <w:tcPr>
            <w:tcW w:w="992" w:type="dxa"/>
          </w:tcPr>
          <w:p w14:paraId="63D38971">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mm</w:t>
            </w:r>
          </w:p>
        </w:tc>
        <w:tc>
          <w:tcPr>
            <w:tcW w:w="1058" w:type="dxa"/>
          </w:tcPr>
          <w:p w14:paraId="454C8E31">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2050</w:t>
            </w:r>
          </w:p>
        </w:tc>
      </w:tr>
      <w:tr w14:paraId="33FF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4DE6F074">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length</w:t>
            </w:r>
            <w:r>
              <w:rPr>
                <w:rFonts w:hint="eastAsia" w:asciiTheme="minorEastAsia" w:hAnsiTheme="minorEastAsia" w:eastAsiaTheme="minorEastAsia" w:cstheme="minorEastAsia"/>
              </w:rPr>
              <w:t>长度</w:t>
            </w:r>
          </w:p>
        </w:tc>
        <w:tc>
          <w:tcPr>
            <w:tcW w:w="992" w:type="dxa"/>
          </w:tcPr>
          <w:p w14:paraId="2FA361DE">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mm</w:t>
            </w:r>
          </w:p>
        </w:tc>
        <w:tc>
          <w:tcPr>
            <w:tcW w:w="1058" w:type="dxa"/>
          </w:tcPr>
          <w:p w14:paraId="29EE3F51">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835</w:t>
            </w:r>
          </w:p>
        </w:tc>
      </w:tr>
      <w:tr w14:paraId="4FFA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75D2420">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height</w:t>
            </w:r>
            <w:r>
              <w:rPr>
                <w:rFonts w:hint="eastAsia" w:asciiTheme="minorEastAsia" w:hAnsiTheme="minorEastAsia" w:eastAsiaTheme="minorEastAsia" w:cstheme="minorEastAsia"/>
              </w:rPr>
              <w:t>高度</w:t>
            </w:r>
          </w:p>
        </w:tc>
        <w:tc>
          <w:tcPr>
            <w:tcW w:w="992" w:type="dxa"/>
          </w:tcPr>
          <w:p w14:paraId="4B3FE0CD">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mm</w:t>
            </w:r>
          </w:p>
        </w:tc>
        <w:tc>
          <w:tcPr>
            <w:tcW w:w="1058" w:type="dxa"/>
          </w:tcPr>
          <w:p w14:paraId="6C9FF801">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590</w:t>
            </w:r>
          </w:p>
        </w:tc>
      </w:tr>
      <w:tr w14:paraId="6AB6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4BE64D87">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Work pressure</w:t>
            </w:r>
            <w:r>
              <w:rPr>
                <w:rFonts w:hint="eastAsia" w:asciiTheme="minorEastAsia" w:hAnsiTheme="minorEastAsia" w:eastAsiaTheme="minorEastAsia" w:cstheme="minorEastAsia"/>
              </w:rPr>
              <w:t>工作压力</w:t>
            </w:r>
          </w:p>
        </w:tc>
        <w:tc>
          <w:tcPr>
            <w:tcW w:w="992" w:type="dxa"/>
          </w:tcPr>
          <w:p w14:paraId="5D390650">
            <w:pPr>
              <w:tabs>
                <w:tab w:val="left" w:pos="45"/>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MPa</w:t>
            </w:r>
          </w:p>
        </w:tc>
        <w:tc>
          <w:tcPr>
            <w:tcW w:w="1058" w:type="dxa"/>
          </w:tcPr>
          <w:p w14:paraId="6FB415D5">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16</w:t>
            </w:r>
          </w:p>
        </w:tc>
      </w:tr>
      <w:tr w14:paraId="46AB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2D54C6E1">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Work flow</w:t>
            </w:r>
            <w:r>
              <w:rPr>
                <w:rFonts w:hint="eastAsia" w:asciiTheme="minorEastAsia" w:hAnsiTheme="minorEastAsia" w:eastAsiaTheme="minorEastAsia" w:cstheme="minorEastAsia"/>
              </w:rPr>
              <w:t>工作流量</w:t>
            </w:r>
          </w:p>
        </w:tc>
        <w:tc>
          <w:tcPr>
            <w:tcW w:w="992" w:type="dxa"/>
          </w:tcPr>
          <w:p w14:paraId="285E6641">
            <w:pPr>
              <w:tabs>
                <w:tab w:val="left" w:pos="45"/>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t>L/min</w:t>
            </w:r>
          </w:p>
        </w:tc>
        <w:tc>
          <w:tcPr>
            <w:tcW w:w="1058" w:type="dxa"/>
          </w:tcPr>
          <w:p w14:paraId="48858E26">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50</w:t>
            </w:r>
          </w:p>
        </w:tc>
      </w:tr>
      <w:tr w14:paraId="462A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557BE863">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motor speed</w:t>
            </w:r>
          </w:p>
          <w:p w14:paraId="4D42CB10">
            <w:pPr>
              <w:rPr>
                <w:rFonts w:hint="eastAsia" w:asciiTheme="minorEastAsia" w:hAnsiTheme="minorEastAsia" w:eastAsiaTheme="minorEastAsia" w:cstheme="minorEastAsia"/>
              </w:rPr>
            </w:pPr>
          </w:p>
          <w:p w14:paraId="1B34097F">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马达转速</w:t>
            </w:r>
          </w:p>
        </w:tc>
        <w:tc>
          <w:tcPr>
            <w:tcW w:w="992" w:type="dxa"/>
          </w:tcPr>
          <w:p w14:paraId="365D008A">
            <w:pPr>
              <w:tabs>
                <w:tab w:val="left" w:pos="45"/>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t>r/min</w:t>
            </w:r>
          </w:p>
        </w:tc>
        <w:tc>
          <w:tcPr>
            <w:tcW w:w="1058" w:type="dxa"/>
          </w:tcPr>
          <w:p w14:paraId="28EA78D7">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180</w:t>
            </w:r>
          </w:p>
        </w:tc>
      </w:tr>
      <w:tr w14:paraId="79D1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7192336">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rated power</w:t>
            </w:r>
          </w:p>
          <w:p w14:paraId="30D1FC7F">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额定功率</w:t>
            </w:r>
          </w:p>
        </w:tc>
        <w:tc>
          <w:tcPr>
            <w:tcW w:w="992" w:type="dxa"/>
          </w:tcPr>
          <w:p w14:paraId="02D06A9C">
            <w:pPr>
              <w:tabs>
                <w:tab w:val="left" w:pos="45"/>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t>KW</w:t>
            </w:r>
          </w:p>
        </w:tc>
        <w:tc>
          <w:tcPr>
            <w:tcW w:w="1058" w:type="dxa"/>
          </w:tcPr>
          <w:p w14:paraId="10968751">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8</w:t>
            </w:r>
          </w:p>
        </w:tc>
      </w:tr>
      <w:tr w14:paraId="54D6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77" w:type="dxa"/>
          </w:tcPr>
          <w:p w14:paraId="0083D452">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Chain Size </w:t>
            </w:r>
          </w:p>
          <w:p w14:paraId="02CEAF5E">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链条规格</w:t>
            </w:r>
          </w:p>
        </w:tc>
        <w:tc>
          <w:tcPr>
            <w:tcW w:w="992" w:type="dxa"/>
          </w:tcPr>
          <w:p w14:paraId="4E2A4AA4">
            <w:pPr>
              <w:tabs>
                <w:tab w:val="left" w:pos="45"/>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t>美标</w:t>
            </w:r>
          </w:p>
        </w:tc>
        <w:tc>
          <w:tcPr>
            <w:tcW w:w="1058" w:type="dxa"/>
          </w:tcPr>
          <w:p w14:paraId="477E56D6">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16A</w:t>
            </w:r>
          </w:p>
        </w:tc>
      </w:tr>
      <w:tr w14:paraId="582B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0BE3639F">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traveling speed行走速度</w:t>
            </w:r>
          </w:p>
        </w:tc>
        <w:tc>
          <w:tcPr>
            <w:tcW w:w="992" w:type="dxa"/>
          </w:tcPr>
          <w:p w14:paraId="2D717792">
            <w:pPr>
              <w:tabs>
                <w:tab w:val="left" w:pos="45"/>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t>m/min</w:t>
            </w:r>
          </w:p>
        </w:tc>
        <w:tc>
          <w:tcPr>
            <w:tcW w:w="1058" w:type="dxa"/>
          </w:tcPr>
          <w:p w14:paraId="7504E757">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10</w:t>
            </w:r>
          </w:p>
        </w:tc>
      </w:tr>
      <w:tr w14:paraId="60EC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74D6C88">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weight</w:t>
            </w:r>
            <w:r>
              <w:rPr>
                <w:rFonts w:hint="eastAsia" w:asciiTheme="minorEastAsia" w:hAnsiTheme="minorEastAsia" w:eastAsiaTheme="minorEastAsia" w:cstheme="minorEastAsia"/>
              </w:rPr>
              <w:t>重量</w:t>
            </w:r>
          </w:p>
        </w:tc>
        <w:tc>
          <w:tcPr>
            <w:tcW w:w="992" w:type="dxa"/>
          </w:tcPr>
          <w:p w14:paraId="704999EF">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KG</w:t>
            </w:r>
          </w:p>
        </w:tc>
        <w:tc>
          <w:tcPr>
            <w:tcW w:w="1058" w:type="dxa"/>
          </w:tcPr>
          <w:p w14:paraId="52A361D4">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230</w:t>
            </w:r>
          </w:p>
        </w:tc>
      </w:tr>
      <w:tr w14:paraId="2D95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D47895C">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Working width</w:t>
            </w:r>
            <w:r>
              <w:rPr>
                <w:rFonts w:hint="eastAsia" w:asciiTheme="minorEastAsia" w:hAnsiTheme="minorEastAsia" w:eastAsiaTheme="minorEastAsia" w:cstheme="minorEastAsia"/>
              </w:rPr>
              <w:t>工作宽度</w:t>
            </w:r>
          </w:p>
        </w:tc>
        <w:tc>
          <w:tcPr>
            <w:tcW w:w="992" w:type="dxa"/>
          </w:tcPr>
          <w:p w14:paraId="3C6D9046">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mm</w:t>
            </w:r>
          </w:p>
        </w:tc>
        <w:tc>
          <w:tcPr>
            <w:tcW w:w="1058" w:type="dxa"/>
          </w:tcPr>
          <w:p w14:paraId="52449F07">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1830</w:t>
            </w:r>
          </w:p>
        </w:tc>
      </w:tr>
      <w:tr w14:paraId="0BB6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60735313">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Packing weight</w:t>
            </w:r>
            <w:r>
              <w:rPr>
                <w:rFonts w:hint="eastAsia" w:asciiTheme="minorEastAsia" w:hAnsiTheme="minorEastAsia" w:eastAsiaTheme="minorEastAsia" w:cstheme="minorEastAsia"/>
              </w:rPr>
              <w:t>包装重量</w:t>
            </w:r>
          </w:p>
        </w:tc>
        <w:tc>
          <w:tcPr>
            <w:tcW w:w="992" w:type="dxa"/>
          </w:tcPr>
          <w:p w14:paraId="4346F1A5">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KG</w:t>
            </w:r>
          </w:p>
        </w:tc>
        <w:tc>
          <w:tcPr>
            <w:tcW w:w="1058" w:type="dxa"/>
          </w:tcPr>
          <w:p w14:paraId="13B11671">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272</w:t>
            </w:r>
          </w:p>
        </w:tc>
      </w:tr>
      <w:tr w14:paraId="353F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7C5DDCFD">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Packing width</w:t>
            </w:r>
            <w:r>
              <w:rPr>
                <w:rFonts w:hint="eastAsia" w:asciiTheme="minorEastAsia" w:hAnsiTheme="minorEastAsia" w:eastAsiaTheme="minorEastAsia" w:cstheme="minorEastAsia"/>
              </w:rPr>
              <w:t>包装宽度</w:t>
            </w:r>
          </w:p>
        </w:tc>
        <w:tc>
          <w:tcPr>
            <w:tcW w:w="992" w:type="dxa"/>
          </w:tcPr>
          <w:p w14:paraId="37F3E387">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mm</w:t>
            </w:r>
          </w:p>
        </w:tc>
        <w:tc>
          <w:tcPr>
            <w:tcW w:w="1058" w:type="dxa"/>
          </w:tcPr>
          <w:p w14:paraId="226C7136">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2180</w:t>
            </w:r>
          </w:p>
        </w:tc>
      </w:tr>
      <w:tr w14:paraId="39FA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6E06FA3E">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Packing length</w:t>
            </w:r>
            <w:r>
              <w:rPr>
                <w:rFonts w:hint="eastAsia" w:asciiTheme="minorEastAsia" w:hAnsiTheme="minorEastAsia" w:eastAsiaTheme="minorEastAsia" w:cstheme="minorEastAsia"/>
              </w:rPr>
              <w:t>包装长度</w:t>
            </w:r>
          </w:p>
        </w:tc>
        <w:tc>
          <w:tcPr>
            <w:tcW w:w="992" w:type="dxa"/>
          </w:tcPr>
          <w:p w14:paraId="1CBAFED5">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mm</w:t>
            </w:r>
          </w:p>
        </w:tc>
        <w:tc>
          <w:tcPr>
            <w:tcW w:w="1058" w:type="dxa"/>
          </w:tcPr>
          <w:p w14:paraId="4CCEF0D8">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722</w:t>
            </w:r>
          </w:p>
        </w:tc>
      </w:tr>
      <w:tr w14:paraId="50BA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tcPr>
          <w:p w14:paraId="55A31A54">
            <w:pP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Packing height</w:t>
            </w:r>
            <w:r>
              <w:rPr>
                <w:rFonts w:hint="eastAsia" w:asciiTheme="minorEastAsia" w:hAnsiTheme="minorEastAsia" w:eastAsiaTheme="minorEastAsia" w:cstheme="minorEastAsia"/>
              </w:rPr>
              <w:t>包装高度</w:t>
            </w:r>
          </w:p>
        </w:tc>
        <w:tc>
          <w:tcPr>
            <w:tcW w:w="992" w:type="dxa"/>
          </w:tcPr>
          <w:p w14:paraId="6D35EC51">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mm</w:t>
            </w:r>
          </w:p>
        </w:tc>
        <w:tc>
          <w:tcPr>
            <w:tcW w:w="1058" w:type="dxa"/>
          </w:tcPr>
          <w:p w14:paraId="48B7DD88">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680</w:t>
            </w:r>
          </w:p>
        </w:tc>
      </w:tr>
    </w:tbl>
    <w:p w14:paraId="437368F0">
      <w:pPr>
        <w:pStyle w:val="6"/>
        <w:shd w:val="clear" w:color="auto" w:fill="FFFFFF"/>
        <w:spacing w:before="0" w:beforeAutospacing="0" w:after="0" w:afterAutospacing="0"/>
        <w:textAlignment w:val="baseline"/>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rPr>
        <w:drawing>
          <wp:inline distT="0" distB="0" distL="0" distR="0">
            <wp:extent cx="6645910" cy="47694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6645910" cy="4769485"/>
                    </a:xfrm>
                    <a:prstGeom prst="rect">
                      <a:avLst/>
                    </a:prstGeom>
                  </pic:spPr>
                </pic:pic>
              </a:graphicData>
            </a:graphic>
          </wp:inline>
        </w:drawing>
      </w:r>
    </w:p>
    <w:p w14:paraId="43FC1D4F">
      <w:pPr>
        <w:pStyle w:val="6"/>
        <w:shd w:val="clear" w:color="auto" w:fill="FFFFFF"/>
        <w:spacing w:before="0" w:beforeAutospacing="0" w:after="0" w:afterAutospacing="0"/>
        <w:textAlignment w:val="baseline"/>
        <w:rPr>
          <w:rFonts w:hint="eastAsia" w:asciiTheme="minorEastAsia" w:hAnsiTheme="minorEastAsia" w:eastAsiaTheme="minorEastAsia" w:cstheme="minorEastAsia"/>
          <w:color w:val="666666"/>
          <w:sz w:val="21"/>
          <w:szCs w:val="21"/>
        </w:rPr>
      </w:pPr>
    </w:p>
    <w:p w14:paraId="348103B9">
      <w:pPr>
        <w:pStyle w:val="6"/>
        <w:shd w:val="clear" w:color="auto" w:fill="FFFFFF"/>
        <w:spacing w:before="0" w:beforeAutospacing="0" w:after="0" w:afterAutospacing="0"/>
        <w:jc w:val="center"/>
        <w:textAlignment w:val="baseline"/>
        <w:rPr>
          <w:rFonts w:hint="eastAsia" w:asciiTheme="minorEastAsia" w:hAnsiTheme="minorEastAsia" w:eastAsiaTheme="minorEastAsia" w:cstheme="minorEastAsia"/>
          <w:color w:val="666666"/>
          <w:sz w:val="40"/>
          <w:szCs w:val="21"/>
        </w:rPr>
      </w:pPr>
      <w:r>
        <w:rPr>
          <w:rFonts w:hint="eastAsia" w:asciiTheme="minorEastAsia" w:hAnsiTheme="minorEastAsia" w:eastAsiaTheme="minorEastAsia" w:cstheme="minorEastAsia"/>
        </w:rPr>
        <w:drawing>
          <wp:inline distT="0" distB="0" distL="0" distR="0">
            <wp:extent cx="6337300" cy="43561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350630" cy="4365830"/>
                    </a:xfrm>
                    <a:prstGeom prst="rect">
                      <a:avLst/>
                    </a:prstGeom>
                  </pic:spPr>
                </pic:pic>
              </a:graphicData>
            </a:graphic>
          </wp:inline>
        </w:drawing>
      </w:r>
    </w:p>
    <w:p w14:paraId="1983E9E6">
      <w:pPr>
        <w:pStyle w:val="6"/>
        <w:shd w:val="clear" w:color="auto" w:fill="FFFFFF"/>
        <w:spacing w:before="0" w:beforeAutospacing="0" w:after="0" w:afterAutospacing="0"/>
        <w:textAlignment w:val="baseline"/>
        <w:rPr>
          <w:rFonts w:hint="eastAsia" w:asciiTheme="minorEastAsia" w:hAnsiTheme="minorEastAsia" w:eastAsiaTheme="minorEastAsia" w:cstheme="minorEastAsia"/>
          <w:color w:val="666666"/>
          <w:sz w:val="40"/>
          <w:szCs w:val="21"/>
        </w:rPr>
      </w:pPr>
    </w:p>
    <w:p w14:paraId="39FD4215">
      <w:pPr>
        <w:pStyle w:val="6"/>
        <w:shd w:val="clear" w:color="auto" w:fill="FFFFFF"/>
        <w:spacing w:before="0" w:beforeAutospacing="0" w:after="0" w:afterAutospacing="0"/>
        <w:jc w:val="center"/>
        <w:textAlignment w:val="baseline"/>
        <w:rPr>
          <w:rFonts w:cs="Helvetica" w:asciiTheme="minorEastAsia" w:hAnsiTheme="minorEastAsia" w:eastAsiaTheme="minorEastAsia"/>
          <w:color w:val="666666"/>
          <w:sz w:val="40"/>
          <w:szCs w:val="21"/>
        </w:rPr>
      </w:pPr>
      <w:r>
        <w:rPr>
          <w:rFonts w:hint="eastAsia" w:cs="Helvetica" w:asciiTheme="minorEastAsia" w:hAnsiTheme="minorEastAsia" w:eastAsiaTheme="minorEastAsia"/>
          <w:color w:val="666666"/>
          <w:sz w:val="40"/>
          <w:szCs w:val="21"/>
        </w:rPr>
        <w:t>Assembly disassembly drawing of 72-inch rotary tiller7</w:t>
      </w:r>
      <w:r>
        <w:rPr>
          <w:rFonts w:cs="Helvetica" w:asciiTheme="minorEastAsia" w:hAnsiTheme="minorEastAsia" w:eastAsiaTheme="minorEastAsia"/>
          <w:color w:val="666666"/>
          <w:sz w:val="40"/>
          <w:szCs w:val="21"/>
        </w:rPr>
        <w:t>2</w:t>
      </w:r>
      <w:r>
        <w:rPr>
          <w:rFonts w:hint="eastAsia" w:cs="Helvetica" w:asciiTheme="minorEastAsia" w:hAnsiTheme="minorEastAsia" w:eastAsiaTheme="minorEastAsia"/>
          <w:color w:val="666666"/>
          <w:sz w:val="40"/>
          <w:szCs w:val="21"/>
        </w:rPr>
        <w:t>英寸旋耕机总装分解图</w:t>
      </w:r>
    </w:p>
    <w:p w14:paraId="022C4DBB">
      <w:pPr>
        <w:pStyle w:val="6"/>
        <w:shd w:val="clear" w:color="auto" w:fill="FFFFFF"/>
        <w:spacing w:before="0" w:beforeAutospacing="0" w:after="0" w:afterAutospacing="0"/>
        <w:jc w:val="center"/>
        <w:textAlignment w:val="baseline"/>
        <w:rPr>
          <w:rFonts w:cs="Helvetica" w:asciiTheme="minorEastAsia" w:hAnsiTheme="minorEastAsia" w:eastAsiaTheme="minorEastAsia"/>
          <w:color w:val="666666"/>
          <w:sz w:val="40"/>
          <w:szCs w:val="21"/>
        </w:rPr>
      </w:pPr>
      <w:r>
        <w:drawing>
          <wp:inline distT="0" distB="0" distL="0" distR="0">
            <wp:extent cx="9906000" cy="598932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9928984" cy="6003216"/>
                    </a:xfrm>
                    <a:prstGeom prst="rect">
                      <a:avLst/>
                    </a:prstGeom>
                  </pic:spPr>
                </pic:pic>
              </a:graphicData>
            </a:graphic>
          </wp:inline>
        </w:drawing>
      </w:r>
    </w:p>
    <w:p w14:paraId="403DDD78">
      <w:pPr>
        <w:pStyle w:val="6"/>
        <w:shd w:val="clear" w:color="auto" w:fill="FFFFFF"/>
        <w:spacing w:before="0" w:beforeAutospacing="0" w:after="0" w:afterAutospacing="0"/>
        <w:jc w:val="center"/>
        <w:textAlignment w:val="baseline"/>
        <w:rPr>
          <w:rFonts w:cs="Helvetica" w:asciiTheme="minorEastAsia" w:hAnsiTheme="minorEastAsia" w:eastAsiaTheme="minorEastAsia"/>
          <w:color w:val="666666"/>
          <w:sz w:val="40"/>
          <w:szCs w:val="21"/>
        </w:rPr>
      </w:pPr>
    </w:p>
    <w:p w14:paraId="44F969CA">
      <w:pPr>
        <w:pStyle w:val="6"/>
        <w:shd w:val="clear" w:color="auto" w:fill="FFFFFF"/>
        <w:spacing w:before="0" w:beforeAutospacing="0" w:after="0" w:afterAutospacing="0"/>
        <w:jc w:val="center"/>
        <w:textAlignment w:val="baseline"/>
        <w:rPr>
          <w:rFonts w:cs="Helvetica" w:asciiTheme="minorEastAsia" w:hAnsiTheme="minorEastAsia" w:eastAsiaTheme="minorEastAsia"/>
          <w:color w:val="666666"/>
          <w:sz w:val="48"/>
          <w:szCs w:val="21"/>
        </w:rPr>
      </w:pPr>
    </w:p>
    <w:p w14:paraId="3C187248">
      <w:pPr>
        <w:pStyle w:val="6"/>
        <w:shd w:val="clear" w:color="auto" w:fill="FFFFFF"/>
        <w:spacing w:before="0" w:beforeAutospacing="0" w:after="0" w:afterAutospacing="0"/>
        <w:jc w:val="center"/>
        <w:textAlignment w:val="baseline"/>
        <w:rPr>
          <w:rFonts w:cs="Helvetica" w:asciiTheme="minorEastAsia" w:hAnsiTheme="minorEastAsia" w:eastAsiaTheme="minorEastAsia"/>
          <w:color w:val="666666"/>
          <w:sz w:val="48"/>
          <w:szCs w:val="21"/>
        </w:rPr>
      </w:pPr>
    </w:p>
    <w:p w14:paraId="61E57DF7">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40"/>
          <w:szCs w:val="21"/>
        </w:rPr>
      </w:pPr>
    </w:p>
    <w:p w14:paraId="4BA19C71">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40"/>
          <w:szCs w:val="21"/>
        </w:rPr>
      </w:pPr>
      <w:r>
        <w:rPr>
          <w:rFonts w:hint="eastAsia" w:cs="Helvetica" w:asciiTheme="minorEastAsia" w:hAnsiTheme="minorEastAsia" w:eastAsiaTheme="minorEastAsia"/>
          <w:color w:val="666666"/>
          <w:sz w:val="40"/>
          <w:szCs w:val="21"/>
        </w:rPr>
        <w:t>Installation method of 72-inch rotary tiller7</w:t>
      </w:r>
      <w:r>
        <w:rPr>
          <w:rFonts w:cs="Helvetica" w:asciiTheme="minorEastAsia" w:hAnsiTheme="minorEastAsia" w:eastAsiaTheme="minorEastAsia"/>
          <w:color w:val="666666"/>
          <w:sz w:val="40"/>
          <w:szCs w:val="21"/>
        </w:rPr>
        <w:t>2</w:t>
      </w:r>
      <w:r>
        <w:rPr>
          <w:rFonts w:hint="eastAsia" w:cs="Helvetica" w:asciiTheme="minorEastAsia" w:hAnsiTheme="minorEastAsia" w:eastAsiaTheme="minorEastAsia"/>
          <w:color w:val="666666"/>
          <w:sz w:val="40"/>
          <w:szCs w:val="21"/>
        </w:rPr>
        <w:t>英寸旋耕机安装方法</w:t>
      </w:r>
    </w:p>
    <w:p w14:paraId="3AD8A15C">
      <w:pPr>
        <w:pStyle w:val="6"/>
        <w:shd w:val="clear" w:color="auto" w:fill="FFFFFF"/>
        <w:spacing w:before="0" w:beforeAutospacing="0" w:after="0" w:afterAutospacing="0"/>
        <w:textAlignment w:val="baseline"/>
        <w:rPr>
          <w:rFonts w:hint="default"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1</w:t>
      </w:r>
      <w:r>
        <w:rPr>
          <w:rFonts w:hint="eastAsia" w:cs="Helvetica" w:asciiTheme="minorEastAsia" w:hAnsiTheme="minorEastAsia" w:eastAsiaTheme="minorEastAsia"/>
          <w:color w:val="666666"/>
          <w:sz w:val="28"/>
          <w:szCs w:val="28"/>
          <w:lang w:val="en-US" w:eastAsia="zh-CN"/>
        </w:rPr>
        <w:t>.</w:t>
      </w:r>
      <w:r>
        <w:rPr>
          <w:rFonts w:hint="eastAsia" w:cs="Helvetica" w:asciiTheme="minorEastAsia" w:hAnsiTheme="minorEastAsia" w:eastAsiaTheme="minorEastAsia"/>
          <w:color w:val="666666"/>
          <w:sz w:val="28"/>
          <w:szCs w:val="28"/>
        </w:rPr>
        <w:t>When using this product, place it on a flat ground immediately to prevent it from toppling over and injuring people</w:t>
      </w:r>
    </w:p>
    <w:p w14:paraId="4AC5AD93">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使用本产品时现将本产品放置平坦地面，防止倾倒伤人。</w:t>
      </w:r>
    </w:p>
    <w:p w14:paraId="0FE75967">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2</w:t>
      </w:r>
      <w:r>
        <w:rPr>
          <w:rFonts w:hint="eastAsia" w:cs="Helvetica" w:asciiTheme="minorEastAsia" w:hAnsiTheme="minorEastAsia" w:eastAsiaTheme="minorEastAsia"/>
          <w:color w:val="666666"/>
          <w:sz w:val="28"/>
          <w:szCs w:val="28"/>
        </w:rPr>
        <w:t>Install the product on the skid steer loader将产品安装在滑移装载机上。</w:t>
      </w:r>
    </w:p>
    <w:p w14:paraId="4B17E270">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3</w:t>
      </w:r>
      <w:r>
        <w:rPr>
          <w:rFonts w:hint="eastAsia" w:cs="Helvetica" w:asciiTheme="minorEastAsia" w:hAnsiTheme="minorEastAsia" w:eastAsiaTheme="minorEastAsia"/>
          <w:color w:val="666666"/>
          <w:sz w:val="28"/>
          <w:szCs w:val="28"/>
        </w:rPr>
        <w:t>As shown in the figure, loosen the 8 bolts at the left and right brackets respectively and reinstall the brackets如图所示，分别松开左右支架处8个螺栓，重新安装支架。</w:t>
      </w:r>
    </w:p>
    <w:p w14:paraId="33D09311">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drawing>
          <wp:inline distT="0" distB="0" distL="0" distR="0">
            <wp:extent cx="9751695" cy="316865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783834" cy="3179093"/>
                    </a:xfrm>
                    <a:prstGeom prst="rect">
                      <a:avLst/>
                    </a:prstGeom>
                  </pic:spPr>
                </pic:pic>
              </a:graphicData>
            </a:graphic>
          </wp:inline>
        </w:drawing>
      </w:r>
    </w:p>
    <w:p w14:paraId="39D9B467">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40"/>
          <w:szCs w:val="21"/>
        </w:rPr>
      </w:pPr>
    </w:p>
    <w:p w14:paraId="45465B02">
      <w:pPr>
        <w:pStyle w:val="6"/>
        <w:shd w:val="clear" w:color="auto" w:fill="FFFFFF"/>
        <w:spacing w:before="0" w:beforeAutospacing="0" w:after="0" w:afterAutospacing="0"/>
        <w:textAlignment w:val="baseline"/>
        <w:rPr>
          <w:rFonts w:hint="eastAsia" w:cs="Helvetica" w:asciiTheme="minorEastAsia" w:hAnsiTheme="minorEastAsia" w:eastAsiaTheme="minorEastAsia"/>
          <w:color w:val="666666"/>
          <w:sz w:val="40"/>
          <w:szCs w:val="21"/>
        </w:rPr>
      </w:pPr>
      <w:r>
        <w:rPr>
          <w:rFonts w:hint="eastAsia" w:cs="Helvetica" w:asciiTheme="minorEastAsia" w:hAnsiTheme="minorEastAsia" w:eastAsiaTheme="minorEastAsia"/>
          <w:color w:val="666666"/>
          <w:sz w:val="40"/>
          <w:szCs w:val="21"/>
        </w:rPr>
        <w:t>Usage method and precautions of 72-inch rotary tiller</w:t>
      </w:r>
    </w:p>
    <w:p w14:paraId="4BAB4CA6">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40"/>
          <w:szCs w:val="21"/>
        </w:rPr>
      </w:pPr>
      <w:r>
        <w:rPr>
          <w:rFonts w:hint="eastAsia" w:cs="Helvetica" w:asciiTheme="minorEastAsia" w:hAnsiTheme="minorEastAsia" w:eastAsiaTheme="minorEastAsia"/>
          <w:color w:val="666666"/>
          <w:sz w:val="40"/>
          <w:szCs w:val="21"/>
        </w:rPr>
        <w:t>7</w:t>
      </w:r>
      <w:r>
        <w:rPr>
          <w:rFonts w:cs="Helvetica" w:asciiTheme="minorEastAsia" w:hAnsiTheme="minorEastAsia" w:eastAsiaTheme="minorEastAsia"/>
          <w:color w:val="666666"/>
          <w:sz w:val="40"/>
          <w:szCs w:val="21"/>
        </w:rPr>
        <w:t>2</w:t>
      </w:r>
      <w:r>
        <w:rPr>
          <w:rFonts w:hint="eastAsia" w:cs="Helvetica" w:asciiTheme="minorEastAsia" w:hAnsiTheme="minorEastAsia" w:eastAsiaTheme="minorEastAsia"/>
          <w:color w:val="666666"/>
          <w:sz w:val="40"/>
          <w:szCs w:val="21"/>
        </w:rPr>
        <w:t>英寸旋耕机使用方法以及注意事项</w:t>
      </w:r>
    </w:p>
    <w:p w14:paraId="22E6B840">
      <w:pPr>
        <w:pStyle w:val="6"/>
        <w:shd w:val="clear" w:color="auto" w:fill="FFFFFF"/>
        <w:spacing w:before="0" w:beforeAutospacing="0" w:after="0" w:afterAutospacing="0"/>
        <w:ind w:firstLine="280" w:firstLineChars="100"/>
        <w:textAlignment w:val="baseline"/>
        <w:rPr>
          <w:rFonts w:cs="Helvetica" w:asciiTheme="minorEastAsia" w:hAnsiTheme="minorEastAsia" w:eastAsiaTheme="minorEastAsia"/>
          <w:color w:val="666666"/>
          <w:sz w:val="28"/>
          <w:szCs w:val="28"/>
        </w:rPr>
      </w:pPr>
    </w:p>
    <w:p w14:paraId="4DC026D2">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 xml:space="preserve">1 </w:t>
      </w:r>
      <w:r>
        <w:rPr>
          <w:rFonts w:hint="eastAsia" w:cs="Helvetica" w:asciiTheme="minorEastAsia" w:hAnsiTheme="minorEastAsia" w:eastAsiaTheme="minorEastAsia"/>
          <w:color w:val="666666"/>
          <w:sz w:val="28"/>
          <w:szCs w:val="28"/>
        </w:rPr>
        <w:t>When you use this product for the first time, you must open the chain guard, apply lubricating oil to the chain, and add lubricating oil again after continuous operation for more than 240 hours. This product when idle for a long time in the chain sprocket, please apply appropriate rust-proof oil or lubricating oil to prevent rust, and regularly check.</w:t>
      </w:r>
    </w:p>
    <w:p w14:paraId="75635D53">
      <w:pPr>
        <w:pStyle w:val="6"/>
        <w:shd w:val="clear" w:color="auto" w:fill="FFFFFF"/>
        <w:spacing w:before="0" w:beforeAutospacing="0" w:after="0" w:afterAutospacing="0"/>
        <w:textAlignment w:val="baseline"/>
        <w:rPr>
          <w:rFonts w:hint="default" w:cs="Helvetica" w:asciiTheme="minorEastAsia" w:hAnsiTheme="minorEastAsia" w:eastAsiaTheme="minorEastAsia"/>
          <w:color w:val="666666"/>
          <w:sz w:val="28"/>
          <w:szCs w:val="28"/>
        </w:rPr>
      </w:pPr>
    </w:p>
    <w:p w14:paraId="198BD14A">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当你第一次使用时本产品时必须打开链条防护罩，向链条处涂抹润滑油，连续工作超过2</w:t>
      </w:r>
      <w:r>
        <w:rPr>
          <w:rFonts w:cs="Helvetica" w:asciiTheme="minorEastAsia" w:hAnsiTheme="minorEastAsia" w:eastAsiaTheme="minorEastAsia"/>
          <w:color w:val="666666"/>
          <w:sz w:val="28"/>
          <w:szCs w:val="28"/>
        </w:rPr>
        <w:t>40</w:t>
      </w:r>
      <w:r>
        <w:rPr>
          <w:rFonts w:hint="eastAsia" w:cs="Helvetica" w:asciiTheme="minorEastAsia" w:hAnsiTheme="minorEastAsia" w:eastAsiaTheme="minorEastAsia"/>
          <w:color w:val="666666"/>
          <w:sz w:val="28"/>
          <w:szCs w:val="28"/>
        </w:rPr>
        <w:t>小时再次添加润滑油。</w:t>
      </w:r>
    </w:p>
    <w:p w14:paraId="3483D6ED">
      <w:pPr>
        <w:pStyle w:val="6"/>
        <w:shd w:val="clear" w:color="auto" w:fill="FFFFFF"/>
        <w:spacing w:before="0" w:beforeAutospacing="0" w:after="0" w:afterAutospacing="0"/>
        <w:ind w:firstLine="280" w:firstLineChars="10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本产品长期闲置时请在链条链轮涂抹适当防锈油或润滑油防止生锈，并且定期检查。</w:t>
      </w:r>
    </w:p>
    <w:p w14:paraId="39910720">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p>
    <w:p w14:paraId="6B7397CC">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r>
        <w:drawing>
          <wp:inline distT="0" distB="0" distL="0" distR="0">
            <wp:extent cx="8334375" cy="68484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8334375" cy="6848475"/>
                    </a:xfrm>
                    <a:prstGeom prst="rect">
                      <a:avLst/>
                    </a:prstGeom>
                  </pic:spPr>
                </pic:pic>
              </a:graphicData>
            </a:graphic>
          </wp:inline>
        </w:drawing>
      </w:r>
    </w:p>
    <w:p w14:paraId="79094B38">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p>
    <w:p w14:paraId="21B992A3">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p>
    <w:p w14:paraId="107F1485">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 xml:space="preserve">2 </w:t>
      </w:r>
      <w:r>
        <w:rPr>
          <w:rFonts w:hint="eastAsia" w:cs="Helvetica" w:asciiTheme="minorEastAsia" w:hAnsiTheme="minorEastAsia" w:eastAsiaTheme="minorEastAsia"/>
          <w:color w:val="666666"/>
          <w:sz w:val="28"/>
          <w:szCs w:val="28"/>
        </w:rPr>
        <w:t>The chain of this product is of American standard 16A-44 sections. After using it for a period of time, you will find that the chain has grown. Don't worry, this is a normal phenomenon. This product can adjust the center distance of the sprocket according to usage, to adjust the tightness of the chain. When the adjusting bolt reaches the maximum limit, it indicates that the service life of the chain has reached its limit. Please contact us to replace the chain in time.本产品链条为美标1</w:t>
      </w:r>
      <w:r>
        <w:rPr>
          <w:rFonts w:cs="Helvetica" w:asciiTheme="minorEastAsia" w:hAnsiTheme="minorEastAsia" w:eastAsiaTheme="minorEastAsia"/>
          <w:color w:val="666666"/>
          <w:sz w:val="28"/>
          <w:szCs w:val="28"/>
        </w:rPr>
        <w:t>6A-44</w:t>
      </w:r>
      <w:r>
        <w:rPr>
          <w:rFonts w:hint="eastAsia" w:cs="Helvetica" w:asciiTheme="minorEastAsia" w:hAnsiTheme="minorEastAsia" w:eastAsiaTheme="minorEastAsia"/>
          <w:color w:val="666666"/>
          <w:sz w:val="28"/>
          <w:szCs w:val="28"/>
        </w:rPr>
        <w:t>节，当你使用过一段时间后，会发现链条增长现象，不必担心这属于正常现象。</w:t>
      </w:r>
    </w:p>
    <w:p w14:paraId="1732D38F">
      <w:pPr>
        <w:pStyle w:val="6"/>
        <w:shd w:val="clear" w:color="auto" w:fill="FFFFFF"/>
        <w:spacing w:before="0" w:beforeAutospacing="0" w:after="0" w:afterAutospacing="0"/>
        <w:ind w:left="210" w:leftChars="10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本产品可以根据使用情况调节链轮的中心距，来调节链条的松紧程度。当调节螺栓达到最大极限，说明链条寿命已达极限。请联系我们及时更换链条。</w:t>
      </w:r>
    </w:p>
    <w:p w14:paraId="1D93950D">
      <w:pPr>
        <w:pStyle w:val="6"/>
        <w:shd w:val="clear" w:color="auto" w:fill="FFFFFF"/>
        <w:spacing w:before="0" w:beforeAutospacing="0" w:after="0" w:afterAutospacing="0"/>
        <w:ind w:left="210" w:leftChars="10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FF0000"/>
          <w:sz w:val="28"/>
          <w:szCs w:val="28"/>
        </w:rPr>
        <w:t>Users are prohibited from adding or removing chains at will*</w:t>
      </w:r>
      <w:r>
        <w:rPr>
          <w:rFonts w:cs="Helvetica" w:asciiTheme="minorEastAsia" w:hAnsiTheme="minorEastAsia" w:eastAsiaTheme="minorEastAsia"/>
          <w:color w:val="FF0000"/>
          <w:sz w:val="28"/>
          <w:szCs w:val="28"/>
        </w:rPr>
        <w:t>**</w:t>
      </w:r>
      <w:r>
        <w:rPr>
          <w:rFonts w:hint="eastAsia" w:cs="Helvetica" w:asciiTheme="minorEastAsia" w:hAnsiTheme="minorEastAsia" w:eastAsiaTheme="minorEastAsia"/>
          <w:color w:val="FF0000"/>
          <w:sz w:val="28"/>
          <w:szCs w:val="28"/>
        </w:rPr>
        <w:t>用户禁止随意增减链条*</w:t>
      </w:r>
      <w:r>
        <w:rPr>
          <w:rFonts w:cs="Helvetica" w:asciiTheme="minorEastAsia" w:hAnsiTheme="minorEastAsia" w:eastAsiaTheme="minorEastAsia"/>
          <w:color w:val="FF0000"/>
          <w:sz w:val="28"/>
          <w:szCs w:val="28"/>
        </w:rPr>
        <w:t>**</w:t>
      </w:r>
    </w:p>
    <w:p w14:paraId="200FEA13">
      <w:pPr>
        <w:pStyle w:val="6"/>
        <w:shd w:val="clear" w:color="auto" w:fill="FFFFFF"/>
        <w:spacing w:before="0" w:beforeAutospacing="0" w:after="0" w:afterAutospacing="0"/>
        <w:ind w:left="210" w:leftChars="100"/>
        <w:textAlignment w:val="baseline"/>
        <w:rPr>
          <w:rFonts w:cs="Helvetica" w:asciiTheme="minorEastAsia" w:hAnsiTheme="minorEastAsia" w:eastAsiaTheme="minorEastAsia"/>
          <w:color w:val="666666"/>
          <w:sz w:val="28"/>
          <w:szCs w:val="28"/>
        </w:rPr>
      </w:pPr>
    </w:p>
    <w:p w14:paraId="10679584">
      <w:pPr>
        <w:pStyle w:val="6"/>
        <w:shd w:val="clear" w:color="auto" w:fill="FFFFFF"/>
        <w:spacing w:before="0" w:beforeAutospacing="0" w:after="0" w:afterAutospacing="0"/>
        <w:ind w:left="210" w:leftChars="10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 xml:space="preserve"> </w:t>
      </w:r>
      <w:r>
        <w:rPr>
          <w:rFonts w:cs="Helvetica" w:asciiTheme="minorEastAsia" w:hAnsiTheme="minorEastAsia" w:eastAsiaTheme="minorEastAsia"/>
          <w:color w:val="666666"/>
          <w:sz w:val="28"/>
          <w:szCs w:val="28"/>
        </w:rPr>
        <w:t xml:space="preserve"> </w:t>
      </w:r>
      <w:r>
        <w:drawing>
          <wp:inline distT="0" distB="0" distL="0" distR="0">
            <wp:extent cx="9288145" cy="431165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9288634" cy="4311650"/>
                    </a:xfrm>
                    <a:prstGeom prst="rect">
                      <a:avLst/>
                    </a:prstGeom>
                  </pic:spPr>
                </pic:pic>
              </a:graphicData>
            </a:graphic>
          </wp:inline>
        </w:drawing>
      </w:r>
    </w:p>
    <w:p w14:paraId="74A6C44D">
      <w:pPr>
        <w:pStyle w:val="6"/>
        <w:shd w:val="clear" w:color="auto" w:fill="FFFFFF"/>
        <w:spacing w:before="0" w:beforeAutospacing="0" w:after="0" w:afterAutospacing="0"/>
        <w:ind w:left="280" w:hanging="280" w:hangingChars="100"/>
        <w:textAlignment w:val="baseline"/>
        <w:rPr>
          <w:rFonts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3</w:t>
      </w:r>
      <w:r>
        <w:rPr>
          <w:rFonts w:hint="eastAsia" w:cs="Helvetica" w:asciiTheme="minorEastAsia" w:hAnsiTheme="minorEastAsia" w:eastAsiaTheme="minorEastAsia"/>
          <w:color w:val="666666"/>
          <w:sz w:val="28"/>
          <w:szCs w:val="28"/>
          <w:lang w:val="en-US" w:eastAsia="zh-CN"/>
        </w:rPr>
        <w:t>.</w:t>
      </w:r>
      <w:r>
        <w:rPr>
          <w:rFonts w:cs="Helvetica" w:asciiTheme="minorEastAsia" w:hAnsiTheme="minorEastAsia" w:eastAsiaTheme="minorEastAsia"/>
          <w:color w:val="666666"/>
          <w:sz w:val="28"/>
          <w:szCs w:val="28"/>
        </w:rPr>
        <w:t xml:space="preserve"> </w:t>
      </w:r>
      <w:r>
        <w:rPr>
          <w:rFonts w:hint="eastAsia" w:cs="Helvetica" w:asciiTheme="minorEastAsia" w:hAnsiTheme="minorEastAsia" w:eastAsiaTheme="minorEastAsia"/>
          <w:color w:val="666666"/>
          <w:sz w:val="28"/>
          <w:szCs w:val="28"/>
        </w:rPr>
        <w:t>There should be at least a 12mm distance between the chain and the sprocket of the rotary tiller. This product is prohibited to take off the chain chain cover use, when you find loose cover is loose, motor bracket or sound in the use process, please close parking loader checks, and timely reinforcement bolt.旋耕机链条与链轮之间至少保持1</w:t>
      </w:r>
      <w:r>
        <w:rPr>
          <w:rFonts w:cs="Helvetica" w:asciiTheme="minorEastAsia" w:hAnsiTheme="minorEastAsia" w:eastAsiaTheme="minorEastAsia"/>
          <w:color w:val="666666"/>
          <w:sz w:val="28"/>
          <w:szCs w:val="28"/>
        </w:rPr>
        <w:t>2</w:t>
      </w:r>
      <w:r>
        <w:rPr>
          <w:rFonts w:hint="eastAsia" w:cs="Helvetica" w:asciiTheme="minorEastAsia" w:hAnsiTheme="minorEastAsia" w:eastAsiaTheme="minorEastAsia"/>
          <w:color w:val="666666"/>
          <w:sz w:val="28"/>
          <w:szCs w:val="28"/>
        </w:rPr>
        <w:t>mm的距离。</w:t>
      </w:r>
    </w:p>
    <w:p w14:paraId="6905B82B">
      <w:pPr>
        <w:pStyle w:val="6"/>
        <w:shd w:val="clear" w:color="auto" w:fill="FFFFFF"/>
        <w:spacing w:before="0" w:beforeAutospacing="0" w:after="0" w:afterAutospacing="0"/>
        <w:ind w:left="210" w:leftChars="10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本产品禁止脱去链条链条防护罩使用，当您发现防护罩螺栓松动、马达支架松动或使用过程中有异响，请关闭装载机停车检查，并及时加固螺栓。</w:t>
      </w:r>
    </w:p>
    <w:p w14:paraId="1B774B06">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p>
    <w:p w14:paraId="4A85F341">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p>
    <w:p w14:paraId="0FD1E8CC">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p>
    <w:p w14:paraId="02DC87F8">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p>
    <w:p w14:paraId="2BD06FDA">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p>
    <w:p w14:paraId="73C11999">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p>
    <w:p w14:paraId="47873309">
      <w:pPr>
        <w:pStyle w:val="6"/>
        <w:shd w:val="clear" w:color="auto" w:fill="FFFFFF"/>
        <w:spacing w:before="0" w:beforeAutospacing="0" w:after="0" w:afterAutospacing="0"/>
        <w:textAlignment w:val="baseline"/>
        <w:rPr>
          <w:rFonts w:hint="default"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4</w:t>
      </w:r>
      <w:r>
        <w:rPr>
          <w:rFonts w:hint="eastAsia" w:cs="Helvetica" w:asciiTheme="minorEastAsia" w:hAnsiTheme="minorEastAsia" w:eastAsiaTheme="minorEastAsia"/>
          <w:color w:val="666666"/>
          <w:sz w:val="28"/>
          <w:szCs w:val="28"/>
          <w:lang w:val="en-US" w:eastAsia="zh-CN"/>
        </w:rPr>
        <w:t>.</w:t>
      </w:r>
      <w:r>
        <w:rPr>
          <w:rFonts w:hint="eastAsia" w:cs="Helvetica" w:asciiTheme="minorEastAsia" w:hAnsiTheme="minorEastAsia" w:eastAsiaTheme="minorEastAsia"/>
          <w:color w:val="666666"/>
          <w:sz w:val="28"/>
          <w:szCs w:val="28"/>
        </w:rPr>
        <w:t>For the first time using this product, open the chain guard and add grease to the bearing housing. Inject lubricating oil into the oil nozzle regularly in the future.</w:t>
      </w:r>
    </w:p>
    <w:p w14:paraId="1E8617FF">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1"/>
        </w:rPr>
      </w:pPr>
      <w:r>
        <w:rPr>
          <w:rFonts w:hint="eastAsia" w:cs="Helvetica" w:asciiTheme="minorEastAsia" w:hAnsiTheme="minorEastAsia" w:eastAsiaTheme="minorEastAsia"/>
          <w:color w:val="666666"/>
          <w:sz w:val="28"/>
          <w:szCs w:val="28"/>
        </w:rPr>
        <w:t>首次使用本产品打开链条防护罩向轴承座处添加黄油。以后</w:t>
      </w:r>
      <w:r>
        <w:rPr>
          <w:rFonts w:hint="eastAsia" w:cs="Helvetica" w:asciiTheme="minorEastAsia" w:hAnsiTheme="minorEastAsia" w:eastAsiaTheme="minorEastAsia"/>
          <w:color w:val="666666"/>
          <w:sz w:val="28"/>
          <w:szCs w:val="21"/>
        </w:rPr>
        <w:t>定期向油嘴处注入润滑油。</w:t>
      </w:r>
    </w:p>
    <w:p w14:paraId="6316462E">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p>
    <w:p w14:paraId="22C77E6F">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1"/>
          <w:szCs w:val="21"/>
        </w:rPr>
      </w:pPr>
      <w:r>
        <w:drawing>
          <wp:inline distT="0" distB="0" distL="0" distR="0">
            <wp:extent cx="4770755" cy="34912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4775816" cy="3494885"/>
                    </a:xfrm>
                    <a:prstGeom prst="rect">
                      <a:avLst/>
                    </a:prstGeom>
                  </pic:spPr>
                </pic:pic>
              </a:graphicData>
            </a:graphic>
          </wp:inline>
        </w:drawing>
      </w:r>
      <w:r>
        <w:rPr>
          <w:rFonts w:hint="eastAsia" w:cs="Helvetica" w:asciiTheme="minorEastAsia" w:hAnsiTheme="minorEastAsia" w:eastAsiaTheme="minorEastAsia"/>
          <w:color w:val="666666"/>
          <w:sz w:val="21"/>
          <w:szCs w:val="21"/>
        </w:rPr>
        <w:t xml:space="preserve"> </w:t>
      </w:r>
      <w:r>
        <w:rPr>
          <w:rFonts w:cs="Helvetica" w:asciiTheme="minorEastAsia" w:hAnsiTheme="minorEastAsia" w:eastAsiaTheme="minorEastAsia"/>
          <w:color w:val="666666"/>
          <w:sz w:val="21"/>
          <w:szCs w:val="21"/>
        </w:rPr>
        <w:t xml:space="preserve">      </w:t>
      </w:r>
      <w:r>
        <w:drawing>
          <wp:inline distT="0" distB="0" distL="0" distR="0">
            <wp:extent cx="4149090" cy="350710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4169922" cy="3524924"/>
                    </a:xfrm>
                    <a:prstGeom prst="rect">
                      <a:avLst/>
                    </a:prstGeom>
                  </pic:spPr>
                </pic:pic>
              </a:graphicData>
            </a:graphic>
          </wp:inline>
        </w:drawing>
      </w:r>
    </w:p>
    <w:p w14:paraId="79B87A50">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p>
    <w:p w14:paraId="3FD4727C">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5</w:t>
      </w:r>
      <w:r>
        <w:rPr>
          <w:rFonts w:hint="eastAsia" w:cs="Helvetica" w:asciiTheme="minorEastAsia" w:hAnsiTheme="minorEastAsia" w:eastAsiaTheme="minorEastAsia"/>
          <w:color w:val="666666"/>
          <w:sz w:val="28"/>
          <w:szCs w:val="28"/>
          <w:lang w:val="en-US" w:eastAsia="zh-CN"/>
        </w:rPr>
        <w:t>.</w:t>
      </w:r>
      <w:r>
        <w:rPr>
          <w:rFonts w:cs="Helvetica" w:asciiTheme="minorEastAsia" w:hAnsiTheme="minorEastAsia" w:eastAsiaTheme="minorEastAsia"/>
          <w:color w:val="666666"/>
          <w:sz w:val="28"/>
          <w:szCs w:val="28"/>
        </w:rPr>
        <w:t xml:space="preserve"> </w:t>
      </w:r>
      <w:r>
        <w:rPr>
          <w:rFonts w:hint="eastAsia" w:cs="Helvetica" w:asciiTheme="minorEastAsia" w:hAnsiTheme="minorEastAsia" w:eastAsiaTheme="minorEastAsia"/>
          <w:color w:val="666666"/>
          <w:sz w:val="28"/>
          <w:szCs w:val="28"/>
        </w:rPr>
        <w:t>When using this rotary tiller, the skid steer loader is moving backward. Please pay attention to judging the possible obstacles such as personnel, livestock, gullies and hills in the driving direction. Rotary cultivator, slip reproduced machine front within 5 can't have people, animals, vehicles and other perishable goods, watch the splash damage使用本旋耕机时，滑移装载机倒退行驶，请注意判断行驶方向可能出现的人员，牲口，沟壑丘陵等障碍。</w:t>
      </w:r>
    </w:p>
    <w:p w14:paraId="24E242C2">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 xml:space="preserve"> </w:t>
      </w:r>
      <w:r>
        <w:rPr>
          <w:rFonts w:cs="Helvetica" w:asciiTheme="minorEastAsia" w:hAnsiTheme="minorEastAsia" w:eastAsiaTheme="minorEastAsia"/>
          <w:color w:val="666666"/>
          <w:sz w:val="28"/>
          <w:szCs w:val="28"/>
        </w:rPr>
        <w:t xml:space="preserve"> </w:t>
      </w:r>
      <w:r>
        <w:rPr>
          <w:rFonts w:hint="eastAsia" w:cs="Helvetica" w:asciiTheme="minorEastAsia" w:hAnsiTheme="minorEastAsia" w:eastAsiaTheme="minorEastAsia"/>
          <w:color w:val="666666"/>
          <w:sz w:val="28"/>
          <w:szCs w:val="28"/>
        </w:rPr>
        <w:t>旋耕机工作时，滑移转载机前方5之内不能有人员、牲口、车辆等易损物品，谨防飞溅物造成损伤。</w:t>
      </w:r>
    </w:p>
    <w:p w14:paraId="68139967">
      <w:pPr>
        <w:pStyle w:val="6"/>
        <w:shd w:val="clear" w:color="auto" w:fill="FFFFFF"/>
        <w:spacing w:before="0" w:beforeAutospacing="0" w:after="0" w:afterAutospacing="0"/>
        <w:ind w:firstLine="280" w:firstLineChars="100"/>
        <w:textAlignment w:val="baseline"/>
        <w:rPr>
          <w:rFonts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drawing>
          <wp:inline distT="0" distB="0" distL="0" distR="0">
            <wp:extent cx="9777730" cy="50120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777730" cy="5012055"/>
                    </a:xfrm>
                    <a:prstGeom prst="rect">
                      <a:avLst/>
                    </a:prstGeom>
                  </pic:spPr>
                </pic:pic>
              </a:graphicData>
            </a:graphic>
          </wp:inline>
        </w:drawing>
      </w:r>
    </w:p>
    <w:p w14:paraId="3A12EF66">
      <w:pPr>
        <w:pStyle w:val="6"/>
        <w:shd w:val="clear" w:color="auto" w:fill="FFFFFF"/>
        <w:spacing w:before="0" w:beforeAutospacing="0" w:after="0" w:afterAutospacing="0"/>
        <w:ind w:firstLine="280" w:firstLineChars="100"/>
        <w:textAlignment w:val="baseline"/>
        <w:rPr>
          <w:rFonts w:cs="Helvetica" w:asciiTheme="minorEastAsia" w:hAnsiTheme="minorEastAsia" w:eastAsiaTheme="minorEastAsia"/>
          <w:color w:val="666666"/>
          <w:sz w:val="28"/>
          <w:szCs w:val="28"/>
        </w:rPr>
      </w:pPr>
    </w:p>
    <w:p w14:paraId="4097966D">
      <w:pPr>
        <w:pStyle w:val="6"/>
        <w:shd w:val="clear" w:color="auto" w:fill="FFFFFF"/>
        <w:spacing w:before="0" w:beforeAutospacing="0" w:after="0" w:afterAutospacing="0"/>
        <w:textAlignment w:val="baseline"/>
        <w:rPr>
          <w:rFonts w:hint="default" w:cs="Helvetica" w:asciiTheme="minorEastAsia" w:hAnsiTheme="minorEastAsia" w:eastAsiaTheme="minorEastAsia"/>
          <w:color w:val="666666"/>
          <w:sz w:val="28"/>
          <w:szCs w:val="28"/>
        </w:rPr>
      </w:pPr>
      <w:r>
        <w:rPr>
          <w:rFonts w:cs="Helvetica" w:asciiTheme="minorEastAsia" w:hAnsiTheme="minorEastAsia" w:eastAsiaTheme="minorEastAsia"/>
          <w:color w:val="666666"/>
          <w:sz w:val="28"/>
          <w:szCs w:val="28"/>
        </w:rPr>
        <w:t xml:space="preserve">6 </w:t>
      </w:r>
      <w:r>
        <w:rPr>
          <w:rFonts w:hint="eastAsia" w:cs="Helvetica" w:asciiTheme="minorEastAsia" w:hAnsiTheme="minorEastAsia" w:eastAsiaTheme="minorEastAsia"/>
          <w:color w:val="666666"/>
          <w:sz w:val="28"/>
          <w:szCs w:val="28"/>
        </w:rPr>
        <w:t>When the rotary tiller is idle, please reinstall the left and right brackets back to their original positions with bolts. Store on a flat surface. Do not step on it at will to avoid overturning and causing accidental injury</w:t>
      </w:r>
    </w:p>
    <w:p w14:paraId="04BE8FA3">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旋耕机闲置放置时请用螺栓将左右支架重新安装回原来位置。存放于平坦场地。不得随意踩踏，以免造倾翻成意外伤害。</w:t>
      </w:r>
    </w:p>
    <w:p w14:paraId="71FBC42C">
      <w:pPr>
        <w:pStyle w:val="6"/>
        <w:shd w:val="clear" w:color="auto" w:fill="FFFFFF"/>
        <w:spacing w:before="0" w:beforeAutospacing="0" w:after="0" w:afterAutospacing="0"/>
        <w:textAlignment w:val="baseline"/>
        <w:rPr>
          <w:rFonts w:hint="default"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7</w:t>
      </w:r>
      <w:r>
        <w:rPr>
          <w:rFonts w:cs="Helvetica" w:asciiTheme="minorEastAsia" w:hAnsiTheme="minorEastAsia" w:eastAsiaTheme="minorEastAsia"/>
          <w:color w:val="666666"/>
          <w:sz w:val="28"/>
          <w:szCs w:val="28"/>
        </w:rPr>
        <w:t xml:space="preserve"> </w:t>
      </w:r>
      <w:r>
        <w:rPr>
          <w:rFonts w:hint="eastAsia" w:cs="Helvetica" w:asciiTheme="minorEastAsia" w:hAnsiTheme="minorEastAsia" w:eastAsiaTheme="minorEastAsia"/>
          <w:color w:val="666666"/>
          <w:sz w:val="28"/>
          <w:szCs w:val="28"/>
        </w:rPr>
        <w:t>When maintaining and repairing the rotary tiller, please turn off the skid steer loader</w:t>
      </w:r>
    </w:p>
    <w:p w14:paraId="5B9D8B65">
      <w:pPr>
        <w:pStyle w:val="6"/>
        <w:shd w:val="clear" w:color="auto" w:fill="FFFFFF"/>
        <w:spacing w:before="0" w:beforeAutospacing="0" w:after="0" w:afterAutospacing="0"/>
        <w:textAlignment w:val="baseline"/>
        <w:rPr>
          <w:rFonts w:cs="Helvetica" w:asciiTheme="minorEastAsia" w:hAnsiTheme="minorEastAsia" w:eastAsiaTheme="minorEastAsia"/>
          <w:color w:val="666666"/>
          <w:sz w:val="28"/>
          <w:szCs w:val="28"/>
        </w:rPr>
      </w:pPr>
      <w:r>
        <w:rPr>
          <w:rFonts w:hint="eastAsia" w:cs="Helvetica" w:asciiTheme="minorEastAsia" w:hAnsiTheme="minorEastAsia" w:eastAsiaTheme="minorEastAsia"/>
          <w:color w:val="666666"/>
          <w:sz w:val="28"/>
          <w:szCs w:val="28"/>
        </w:rPr>
        <w:t>旋耕机维护检修时请将滑移装载机熄火。</w:t>
      </w:r>
      <w:bookmarkStart w:id="0" w:name="_GoBack"/>
      <w:bookmarkEnd w:id="0"/>
    </w:p>
    <w:sectPr>
      <w:pgSz w:w="16838" w:h="23811"/>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582139"/>
    <w:multiLevelType w:val="multilevel"/>
    <w:tmpl w:val="395821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27B"/>
    <w:rsid w:val="000362C0"/>
    <w:rsid w:val="00053E5B"/>
    <w:rsid w:val="00057C5E"/>
    <w:rsid w:val="001106CA"/>
    <w:rsid w:val="00151343"/>
    <w:rsid w:val="00155C16"/>
    <w:rsid w:val="00156F96"/>
    <w:rsid w:val="002159BE"/>
    <w:rsid w:val="00233EFC"/>
    <w:rsid w:val="002876F6"/>
    <w:rsid w:val="002B08EE"/>
    <w:rsid w:val="002B2350"/>
    <w:rsid w:val="002C3B9C"/>
    <w:rsid w:val="002C5AC6"/>
    <w:rsid w:val="00323EEC"/>
    <w:rsid w:val="003361BB"/>
    <w:rsid w:val="00386FDB"/>
    <w:rsid w:val="004466C8"/>
    <w:rsid w:val="00450DD7"/>
    <w:rsid w:val="0047062B"/>
    <w:rsid w:val="0049211A"/>
    <w:rsid w:val="004A51AD"/>
    <w:rsid w:val="004D4E6C"/>
    <w:rsid w:val="004D56C1"/>
    <w:rsid w:val="00543D41"/>
    <w:rsid w:val="00555614"/>
    <w:rsid w:val="005652DF"/>
    <w:rsid w:val="00582803"/>
    <w:rsid w:val="00634D3A"/>
    <w:rsid w:val="00665C2D"/>
    <w:rsid w:val="0067145A"/>
    <w:rsid w:val="006861E1"/>
    <w:rsid w:val="00692728"/>
    <w:rsid w:val="006A0423"/>
    <w:rsid w:val="007306EA"/>
    <w:rsid w:val="00787846"/>
    <w:rsid w:val="007A0CA1"/>
    <w:rsid w:val="007A7076"/>
    <w:rsid w:val="007D0B65"/>
    <w:rsid w:val="00817E03"/>
    <w:rsid w:val="008509AA"/>
    <w:rsid w:val="008D5812"/>
    <w:rsid w:val="008E37FF"/>
    <w:rsid w:val="00912B7D"/>
    <w:rsid w:val="009168CF"/>
    <w:rsid w:val="00955CAE"/>
    <w:rsid w:val="009729BC"/>
    <w:rsid w:val="009B4C90"/>
    <w:rsid w:val="009C71E0"/>
    <w:rsid w:val="009D5525"/>
    <w:rsid w:val="00A14DD0"/>
    <w:rsid w:val="00AB3939"/>
    <w:rsid w:val="00B07F33"/>
    <w:rsid w:val="00B531E0"/>
    <w:rsid w:val="00B75E8C"/>
    <w:rsid w:val="00B9075B"/>
    <w:rsid w:val="00BA3F3D"/>
    <w:rsid w:val="00BA5E6D"/>
    <w:rsid w:val="00C1633E"/>
    <w:rsid w:val="00CB3771"/>
    <w:rsid w:val="00CD5469"/>
    <w:rsid w:val="00D305F4"/>
    <w:rsid w:val="00D30F39"/>
    <w:rsid w:val="00D51774"/>
    <w:rsid w:val="00D77C0C"/>
    <w:rsid w:val="00DD312B"/>
    <w:rsid w:val="00DF0FFB"/>
    <w:rsid w:val="00E279CC"/>
    <w:rsid w:val="00E32ED9"/>
    <w:rsid w:val="00E52BFF"/>
    <w:rsid w:val="00E620F3"/>
    <w:rsid w:val="00E92CDC"/>
    <w:rsid w:val="00EA5C46"/>
    <w:rsid w:val="00EB05E6"/>
    <w:rsid w:val="00F6727B"/>
    <w:rsid w:val="00F72576"/>
    <w:rsid w:val="00F77F27"/>
    <w:rsid w:val="00F9262E"/>
    <w:rsid w:val="00FA1163"/>
    <w:rsid w:val="00FB4129"/>
    <w:rsid w:val="470E276C"/>
    <w:rsid w:val="6B7B1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批注框文本 字符"/>
    <w:basedOn w:val="9"/>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页眉 字符"/>
    <w:basedOn w:val="9"/>
    <w:link w:val="5"/>
    <w:qFormat/>
    <w:uiPriority w:val="99"/>
    <w:rPr>
      <w:sz w:val="18"/>
      <w:szCs w:val="18"/>
    </w:rPr>
  </w:style>
  <w:style w:type="character" w:customStyle="1" w:styleId="13">
    <w:name w:val="页脚 字符"/>
    <w:basedOn w:val="9"/>
    <w:link w:val="4"/>
    <w:qFormat/>
    <w:uiPriority w:val="99"/>
    <w:rPr>
      <w:sz w:val="18"/>
      <w:szCs w:val="18"/>
    </w:rPr>
  </w:style>
  <w:style w:type="character" w:customStyle="1" w:styleId="14">
    <w:name w:val="标题 1 字符"/>
    <w:basedOn w:val="9"/>
    <w:link w:val="2"/>
    <w:qFormat/>
    <w:uiPriority w:val="9"/>
    <w:rPr>
      <w:rFonts w:ascii="宋体" w:hAnsi="宋体" w:eastAsia="宋体" w:cs="宋体"/>
      <w:b/>
      <w:bCs/>
      <w:kern w:val="36"/>
      <w:sz w:val="48"/>
      <w:szCs w:val="48"/>
    </w:rPr>
  </w:style>
  <w:style w:type="character" w:customStyle="1" w:styleId="15">
    <w:name w:val="fontstyle01"/>
    <w:basedOn w:val="9"/>
    <w:qFormat/>
    <w:uiPriority w:val="0"/>
    <w:rPr>
      <w:rFonts w:hint="eastAsia" w:ascii="宋体" w:hAnsi="宋体" w:eastAsia="宋体"/>
      <w:color w:val="000000"/>
      <w:sz w:val="22"/>
      <w:szCs w:val="22"/>
    </w:rPr>
  </w:style>
  <w:style w:type="paragraph" w:styleId="1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1679</Words>
  <Characters>3896</Characters>
  <Lines>28</Lines>
  <Paragraphs>8</Paragraphs>
  <TotalTime>12</TotalTime>
  <ScaleCrop>false</ScaleCrop>
  <LinksUpToDate>false</LinksUpToDate>
  <CharactersWithSpaces>4006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2021-10-27T07:49:00Z</dcterms:created>
  <dc:creator>Administrator</dc:creator>
  <cp:lastModifiedBy>大树咪呀</cp:lastModifiedBy>
  <dcterms:modified xsi:type="dcterms:W3CDTF">2025-05-06T06:20:23Z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eyJoZGlkIjoiMjkwMTc4ZDhhZTgyYjAzYjNlMmJhZTBlNjFkNTE0MzEiLCJ1c2VySWQiOiI4OTAzODY1NjIifQ==</vt:lpwstr>
  </property>
  <property fmtid="{D5CDD505-2E9C-101B-9397-08002B2CF9AE}" pid="3" name="KSOProductBuildVer">
    <vt:lpwstr>2052-12.1.0.21171</vt:lpwstr>
  </property>
  <property fmtid="{D5CDD505-2E9C-101B-9397-08002B2CF9AE}" pid="4" name="ICV">
    <vt:lpwstr>1826D536B577443C86E860A889F8E6B8_12</vt:lpwstr>
  </property>
</Properties>
</file>