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D561A" w14:textId="77777777" w:rsidR="0030755B" w:rsidRDefault="003075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30755B" w14:paraId="1572C238" w14:textId="77777777" w:rsidTr="00587A60">
        <w:tc>
          <w:tcPr>
            <w:tcW w:w="2965" w:type="dxa"/>
          </w:tcPr>
          <w:p w14:paraId="554843DC" w14:textId="1DB1A9C7" w:rsidR="0030755B" w:rsidRDefault="0030755B">
            <w:r>
              <w:t>IFRA Category</w:t>
            </w:r>
          </w:p>
        </w:tc>
        <w:tc>
          <w:tcPr>
            <w:tcW w:w="6385" w:type="dxa"/>
          </w:tcPr>
          <w:p w14:paraId="50603234" w14:textId="769C8CEB" w:rsidR="0030755B" w:rsidRDefault="0030755B">
            <w:r>
              <w:t>Maximum Usage Level</w:t>
            </w:r>
          </w:p>
        </w:tc>
      </w:tr>
      <w:tr w:rsidR="0030755B" w14:paraId="74460B8A" w14:textId="77777777" w:rsidTr="00587A60">
        <w:tc>
          <w:tcPr>
            <w:tcW w:w="2965" w:type="dxa"/>
          </w:tcPr>
          <w:p w14:paraId="6E91A333" w14:textId="2CAFD08C" w:rsidR="00DD0C81" w:rsidRDefault="00DD0C81">
            <w:r>
              <w:t>Category 1</w:t>
            </w:r>
          </w:p>
        </w:tc>
        <w:tc>
          <w:tcPr>
            <w:tcW w:w="6385" w:type="dxa"/>
          </w:tcPr>
          <w:p w14:paraId="642ED8F5" w14:textId="77BDAAD8" w:rsidR="0030755B" w:rsidRDefault="00524201">
            <w:r>
              <w:t>Not Allowed</w:t>
            </w:r>
          </w:p>
        </w:tc>
      </w:tr>
      <w:tr w:rsidR="0030755B" w14:paraId="333D2EDC" w14:textId="77777777" w:rsidTr="00587A60">
        <w:tc>
          <w:tcPr>
            <w:tcW w:w="2965" w:type="dxa"/>
          </w:tcPr>
          <w:p w14:paraId="3E35937C" w14:textId="47AF118D" w:rsidR="0030755B" w:rsidRDefault="00DD0C81">
            <w:r>
              <w:t>Category 2</w:t>
            </w:r>
          </w:p>
        </w:tc>
        <w:tc>
          <w:tcPr>
            <w:tcW w:w="6385" w:type="dxa"/>
          </w:tcPr>
          <w:p w14:paraId="2867DAAF" w14:textId="28E15670" w:rsidR="00711F8C" w:rsidRDefault="00903386">
            <w:r>
              <w:t>1.5%</w:t>
            </w:r>
          </w:p>
        </w:tc>
      </w:tr>
      <w:tr w:rsidR="0030755B" w14:paraId="023E19A4" w14:textId="77777777" w:rsidTr="00587A60">
        <w:tc>
          <w:tcPr>
            <w:tcW w:w="2965" w:type="dxa"/>
          </w:tcPr>
          <w:p w14:paraId="4D3B8C1B" w14:textId="1203B250" w:rsidR="0030755B" w:rsidRDefault="00DD0C81">
            <w:r>
              <w:t>Category 3</w:t>
            </w:r>
          </w:p>
        </w:tc>
        <w:tc>
          <w:tcPr>
            <w:tcW w:w="6385" w:type="dxa"/>
          </w:tcPr>
          <w:p w14:paraId="007ACE04" w14:textId="1D48BA6F" w:rsidR="0030755B" w:rsidRDefault="00903386">
            <w:r>
              <w:t>30.6%</w:t>
            </w:r>
          </w:p>
        </w:tc>
      </w:tr>
      <w:tr w:rsidR="0030755B" w14:paraId="479A2640" w14:textId="77777777" w:rsidTr="00587A60">
        <w:tc>
          <w:tcPr>
            <w:tcW w:w="2965" w:type="dxa"/>
          </w:tcPr>
          <w:p w14:paraId="236A662C" w14:textId="7A60D146" w:rsidR="0030755B" w:rsidRDefault="00DD0C81">
            <w:r>
              <w:t>Category 4</w:t>
            </w:r>
          </w:p>
        </w:tc>
        <w:tc>
          <w:tcPr>
            <w:tcW w:w="6385" w:type="dxa"/>
          </w:tcPr>
          <w:p w14:paraId="43DE70CC" w14:textId="08D3AC12" w:rsidR="0030755B" w:rsidRDefault="00903386">
            <w:r>
              <w:t>28.6%</w:t>
            </w:r>
          </w:p>
        </w:tc>
      </w:tr>
      <w:tr w:rsidR="0030755B" w14:paraId="4BEEE83F" w14:textId="77777777" w:rsidTr="00587A60">
        <w:tc>
          <w:tcPr>
            <w:tcW w:w="2965" w:type="dxa"/>
          </w:tcPr>
          <w:p w14:paraId="7FBA4933" w14:textId="02874B9E" w:rsidR="0030755B" w:rsidRDefault="00DD0C81">
            <w:r>
              <w:t>Category 5A</w:t>
            </w:r>
          </w:p>
        </w:tc>
        <w:tc>
          <w:tcPr>
            <w:tcW w:w="6385" w:type="dxa"/>
          </w:tcPr>
          <w:p w14:paraId="28973592" w14:textId="73D23CBC" w:rsidR="00674344" w:rsidRDefault="00903386">
            <w:r>
              <w:t>7.3%</w:t>
            </w:r>
          </w:p>
        </w:tc>
      </w:tr>
      <w:tr w:rsidR="0030755B" w14:paraId="4CF8D9DF" w14:textId="77777777" w:rsidTr="00587A60">
        <w:tc>
          <w:tcPr>
            <w:tcW w:w="2965" w:type="dxa"/>
          </w:tcPr>
          <w:p w14:paraId="27509A4C" w14:textId="2451B8EA" w:rsidR="0030755B" w:rsidRDefault="00DD0C81">
            <w:r>
              <w:t>Category 5B</w:t>
            </w:r>
          </w:p>
        </w:tc>
        <w:tc>
          <w:tcPr>
            <w:tcW w:w="6385" w:type="dxa"/>
          </w:tcPr>
          <w:p w14:paraId="5A3C0E2E" w14:textId="11E2EC6F" w:rsidR="0030755B" w:rsidRDefault="00903386">
            <w:r>
              <w:t>7.3%</w:t>
            </w:r>
          </w:p>
        </w:tc>
      </w:tr>
      <w:tr w:rsidR="0030755B" w14:paraId="7378C8C0" w14:textId="77777777" w:rsidTr="00587A60">
        <w:tc>
          <w:tcPr>
            <w:tcW w:w="2965" w:type="dxa"/>
          </w:tcPr>
          <w:p w14:paraId="01CB0DB7" w14:textId="37A33E4C" w:rsidR="0030755B" w:rsidRDefault="00DD0C81">
            <w:r>
              <w:t>Category 5C</w:t>
            </w:r>
          </w:p>
        </w:tc>
        <w:tc>
          <w:tcPr>
            <w:tcW w:w="6385" w:type="dxa"/>
          </w:tcPr>
          <w:p w14:paraId="65D9E6D1" w14:textId="3594D895" w:rsidR="0030755B" w:rsidRDefault="00903386">
            <w:r>
              <w:t>7.3%</w:t>
            </w:r>
          </w:p>
        </w:tc>
      </w:tr>
      <w:tr w:rsidR="0030755B" w14:paraId="4312179A" w14:textId="77777777" w:rsidTr="00587A60">
        <w:tc>
          <w:tcPr>
            <w:tcW w:w="2965" w:type="dxa"/>
          </w:tcPr>
          <w:p w14:paraId="2EB3A5F6" w14:textId="4457ACB8" w:rsidR="0030755B" w:rsidRDefault="00DD0C81">
            <w:r>
              <w:t>Category 5D</w:t>
            </w:r>
          </w:p>
        </w:tc>
        <w:tc>
          <w:tcPr>
            <w:tcW w:w="6385" w:type="dxa"/>
          </w:tcPr>
          <w:p w14:paraId="3CF2A0DD" w14:textId="4A31E498" w:rsidR="0030755B" w:rsidRDefault="00903386">
            <w:r>
              <w:t>7.3%</w:t>
            </w:r>
          </w:p>
        </w:tc>
      </w:tr>
      <w:tr w:rsidR="0030755B" w14:paraId="24252B44" w14:textId="77777777" w:rsidTr="00587A60">
        <w:tc>
          <w:tcPr>
            <w:tcW w:w="2965" w:type="dxa"/>
          </w:tcPr>
          <w:p w14:paraId="412A6AD3" w14:textId="310F0378" w:rsidR="0030755B" w:rsidRDefault="00DD0C81">
            <w:r>
              <w:t>Category 6</w:t>
            </w:r>
          </w:p>
        </w:tc>
        <w:tc>
          <w:tcPr>
            <w:tcW w:w="6385" w:type="dxa"/>
          </w:tcPr>
          <w:p w14:paraId="1350F71F" w14:textId="4A82675A" w:rsidR="0030755B" w:rsidRDefault="00903386">
            <w:r>
              <w:t>Not Allowed</w:t>
            </w:r>
          </w:p>
        </w:tc>
      </w:tr>
      <w:tr w:rsidR="0030755B" w14:paraId="0129702B" w14:textId="77777777" w:rsidTr="00587A60">
        <w:tc>
          <w:tcPr>
            <w:tcW w:w="2965" w:type="dxa"/>
          </w:tcPr>
          <w:p w14:paraId="0AF2014B" w14:textId="4496C59A" w:rsidR="0030755B" w:rsidRDefault="00DD0C81">
            <w:r>
              <w:t>Category 7A</w:t>
            </w:r>
          </w:p>
        </w:tc>
        <w:tc>
          <w:tcPr>
            <w:tcW w:w="6385" w:type="dxa"/>
          </w:tcPr>
          <w:p w14:paraId="0128469C" w14:textId="48128679" w:rsidR="0030755B" w:rsidRDefault="00903386">
            <w:r>
              <w:t>33.4%</w:t>
            </w:r>
          </w:p>
        </w:tc>
      </w:tr>
      <w:tr w:rsidR="0030755B" w14:paraId="1A1F0030" w14:textId="77777777" w:rsidTr="00587A60">
        <w:tc>
          <w:tcPr>
            <w:tcW w:w="2965" w:type="dxa"/>
          </w:tcPr>
          <w:p w14:paraId="59110F02" w14:textId="6E2E3EAB" w:rsidR="0030755B" w:rsidRDefault="00DD0C81">
            <w:r>
              <w:t>Category 7B</w:t>
            </w:r>
          </w:p>
        </w:tc>
        <w:tc>
          <w:tcPr>
            <w:tcW w:w="6385" w:type="dxa"/>
          </w:tcPr>
          <w:p w14:paraId="7E799A3D" w14:textId="1468F14E" w:rsidR="0030755B" w:rsidRDefault="00903386">
            <w:r>
              <w:t>33.4%</w:t>
            </w:r>
          </w:p>
        </w:tc>
      </w:tr>
      <w:tr w:rsidR="0030755B" w14:paraId="7865BA1B" w14:textId="77777777" w:rsidTr="00587A60">
        <w:tc>
          <w:tcPr>
            <w:tcW w:w="2965" w:type="dxa"/>
          </w:tcPr>
          <w:p w14:paraId="4F0683B4" w14:textId="0BBE8F9F" w:rsidR="0030755B" w:rsidRDefault="00DD0C81">
            <w:r>
              <w:t>Category 8</w:t>
            </w:r>
          </w:p>
        </w:tc>
        <w:tc>
          <w:tcPr>
            <w:tcW w:w="6385" w:type="dxa"/>
          </w:tcPr>
          <w:p w14:paraId="47F7618A" w14:textId="5DD3A555" w:rsidR="0030755B" w:rsidRDefault="00903386">
            <w:r>
              <w:t>3.0%</w:t>
            </w:r>
          </w:p>
        </w:tc>
      </w:tr>
      <w:tr w:rsidR="00DD0C81" w14:paraId="07FA437E" w14:textId="77777777" w:rsidTr="00587A60">
        <w:tc>
          <w:tcPr>
            <w:tcW w:w="2965" w:type="dxa"/>
          </w:tcPr>
          <w:p w14:paraId="4064F73A" w14:textId="75075813" w:rsidR="00DD0C81" w:rsidRDefault="00DD0C81">
            <w:r>
              <w:t>Category 9</w:t>
            </w:r>
          </w:p>
        </w:tc>
        <w:tc>
          <w:tcPr>
            <w:tcW w:w="6385" w:type="dxa"/>
          </w:tcPr>
          <w:p w14:paraId="7C6D4B9A" w14:textId="5AC8C76D" w:rsidR="00DD0C81" w:rsidRDefault="00903386">
            <w:r>
              <w:t>15.0%</w:t>
            </w:r>
          </w:p>
        </w:tc>
      </w:tr>
      <w:tr w:rsidR="00DD0C81" w14:paraId="3B79A89A" w14:textId="77777777" w:rsidTr="00587A60">
        <w:tc>
          <w:tcPr>
            <w:tcW w:w="2965" w:type="dxa"/>
          </w:tcPr>
          <w:p w14:paraId="0E44FFF6" w14:textId="38C38D23" w:rsidR="00DD0C81" w:rsidRDefault="00DD0C81">
            <w:r>
              <w:t>Category 10A</w:t>
            </w:r>
          </w:p>
        </w:tc>
        <w:tc>
          <w:tcPr>
            <w:tcW w:w="6385" w:type="dxa"/>
          </w:tcPr>
          <w:p w14:paraId="081C29BB" w14:textId="7AA2C984" w:rsidR="00DD0C81" w:rsidRDefault="00903386">
            <w:r>
              <w:t>51.2%</w:t>
            </w:r>
          </w:p>
        </w:tc>
      </w:tr>
      <w:tr w:rsidR="00DD0C81" w14:paraId="3A34483D" w14:textId="77777777" w:rsidTr="00587A60">
        <w:tc>
          <w:tcPr>
            <w:tcW w:w="2965" w:type="dxa"/>
          </w:tcPr>
          <w:p w14:paraId="6F07DE64" w14:textId="4537A789" w:rsidR="00DD0C81" w:rsidRDefault="00DD0C81">
            <w:r>
              <w:t>Category 10B</w:t>
            </w:r>
          </w:p>
        </w:tc>
        <w:tc>
          <w:tcPr>
            <w:tcW w:w="6385" w:type="dxa"/>
          </w:tcPr>
          <w:p w14:paraId="1BEBA561" w14:textId="06F2534E" w:rsidR="00DD0C81" w:rsidRDefault="00903386">
            <w:r>
              <w:t xml:space="preserve">No </w:t>
            </w:r>
            <w:r w:rsidR="00E81FF8">
              <w:t>Restriction</w:t>
            </w:r>
          </w:p>
        </w:tc>
      </w:tr>
      <w:tr w:rsidR="00DD0C81" w14:paraId="02192BA4" w14:textId="77777777" w:rsidTr="00587A60">
        <w:tc>
          <w:tcPr>
            <w:tcW w:w="2965" w:type="dxa"/>
          </w:tcPr>
          <w:p w14:paraId="20A6FD2C" w14:textId="1142641D" w:rsidR="00DD0C81" w:rsidRDefault="00DD0C81">
            <w:r>
              <w:t>Category 11A</w:t>
            </w:r>
          </w:p>
        </w:tc>
        <w:tc>
          <w:tcPr>
            <w:tcW w:w="6385" w:type="dxa"/>
          </w:tcPr>
          <w:p w14:paraId="414B556E" w14:textId="2BC3FDE9" w:rsidR="00DD0C81" w:rsidRDefault="00903386">
            <w:r>
              <w:t>5.7%</w:t>
            </w:r>
          </w:p>
        </w:tc>
      </w:tr>
      <w:tr w:rsidR="00DD0C81" w14:paraId="1C8A431C" w14:textId="77777777" w:rsidTr="00587A60">
        <w:tc>
          <w:tcPr>
            <w:tcW w:w="2965" w:type="dxa"/>
          </w:tcPr>
          <w:p w14:paraId="27FA8DBC" w14:textId="2F248257" w:rsidR="00DD0C81" w:rsidRDefault="00DD0C81">
            <w:r>
              <w:t>Category 11B</w:t>
            </w:r>
          </w:p>
        </w:tc>
        <w:tc>
          <w:tcPr>
            <w:tcW w:w="6385" w:type="dxa"/>
          </w:tcPr>
          <w:p w14:paraId="521C237D" w14:textId="77907475" w:rsidR="00DD0C81" w:rsidRDefault="00903386">
            <w:r>
              <w:t>5.7%</w:t>
            </w:r>
          </w:p>
        </w:tc>
      </w:tr>
      <w:tr w:rsidR="00DD0C81" w14:paraId="3D918D27" w14:textId="77777777" w:rsidTr="00587A60">
        <w:tc>
          <w:tcPr>
            <w:tcW w:w="2965" w:type="dxa"/>
          </w:tcPr>
          <w:p w14:paraId="3012C0F8" w14:textId="3661459D" w:rsidR="00DD0C81" w:rsidRDefault="00DD0C81">
            <w:r>
              <w:t>Category 12</w:t>
            </w:r>
          </w:p>
        </w:tc>
        <w:tc>
          <w:tcPr>
            <w:tcW w:w="6385" w:type="dxa"/>
          </w:tcPr>
          <w:p w14:paraId="5A81B88B" w14:textId="1CF971D3" w:rsidR="00DD0C81" w:rsidRDefault="003C006A">
            <w:r>
              <w:t>No Restriction</w:t>
            </w:r>
          </w:p>
        </w:tc>
      </w:tr>
    </w:tbl>
    <w:p w14:paraId="0AB3E2B6" w14:textId="77777777" w:rsidR="0030755B" w:rsidRDefault="0030755B"/>
    <w:p w14:paraId="34D3C575" w14:textId="77777777" w:rsidR="00587A60" w:rsidRDefault="00587A60"/>
    <w:p w14:paraId="4310638A" w14:textId="77777777" w:rsidR="00587A60" w:rsidRDefault="00587A60"/>
    <w:p w14:paraId="10479226" w14:textId="103473BB" w:rsidR="00587A60" w:rsidRDefault="00587A60" w:rsidP="00587A60">
      <w:pPr>
        <w:jc w:val="center"/>
      </w:pPr>
      <w:r>
        <w:t xml:space="preserve">We certify that the above compound </w:t>
      </w:r>
      <w:proofErr w:type="gramStart"/>
      <w:r>
        <w:t>is in compliance with</w:t>
      </w:r>
      <w:proofErr w:type="gramEnd"/>
      <w:r>
        <w:t xml:space="preserve"> the standards of the IFRA, up to and including then 51</w:t>
      </w:r>
      <w:r w:rsidR="00405A5F">
        <w:t>st</w:t>
      </w:r>
      <w:r>
        <w:t xml:space="preserve"> </w:t>
      </w:r>
      <w:r w:rsidR="00405A5F">
        <w:t>amendment</w:t>
      </w:r>
      <w:r>
        <w:t xml:space="preserve"> to the IFRA Standards.</w:t>
      </w:r>
    </w:p>
    <w:p w14:paraId="372D80EF" w14:textId="77777777" w:rsidR="00587A60" w:rsidRDefault="00587A60"/>
    <w:p w14:paraId="1F71CB9F" w14:textId="77777777" w:rsidR="00587A60" w:rsidRDefault="00587A60"/>
    <w:p w14:paraId="0E6543C3" w14:textId="77777777" w:rsidR="00587A60" w:rsidRDefault="00587A60"/>
    <w:p w14:paraId="4159B4D2" w14:textId="77777777" w:rsidR="00587A60" w:rsidRDefault="00587A60"/>
    <w:p w14:paraId="61AA38AE" w14:textId="77777777" w:rsidR="00587A60" w:rsidRDefault="00587A60"/>
    <w:p w14:paraId="15DE0969" w14:textId="77777777" w:rsidR="00405A5F" w:rsidRDefault="00405A5F"/>
    <w:p w14:paraId="5D075D6F" w14:textId="6ECEFD73" w:rsidR="0030755B" w:rsidRDefault="00DD0C81">
      <w:r>
        <w:lastRenderedPageBreak/>
        <w:t>IFRA Category Description:</w:t>
      </w:r>
    </w:p>
    <w:p w14:paraId="769CDC14" w14:textId="3BFEE40E" w:rsidR="00DD0C81" w:rsidRDefault="00DD0C81" w:rsidP="00DD0C81">
      <w:pPr>
        <w:pStyle w:val="ListParagraph"/>
        <w:numPr>
          <w:ilvl w:val="0"/>
          <w:numId w:val="1"/>
        </w:numPr>
      </w:pPr>
      <w:r>
        <w:t>Lip Products of all Types: lipstick, lip balm. Toys.</w:t>
      </w:r>
    </w:p>
    <w:p w14:paraId="0C194E1E" w14:textId="4FA49625" w:rsidR="00DD0C81" w:rsidRDefault="00DD0C81" w:rsidP="00DD0C81">
      <w:pPr>
        <w:pStyle w:val="ListParagraph"/>
        <w:numPr>
          <w:ilvl w:val="0"/>
          <w:numId w:val="1"/>
        </w:numPr>
      </w:pPr>
      <w:r>
        <w:t>Deodorant &amp; Antiperspirant of all Types (Spray, Stick, Roll-On, Deo-Cologne &amp; Body Spray.</w:t>
      </w:r>
    </w:p>
    <w:p w14:paraId="78B8916B" w14:textId="79FE9DB8" w:rsidR="00DD0C81" w:rsidRDefault="00DD0C81" w:rsidP="00DD0C81">
      <w:pPr>
        <w:pStyle w:val="ListParagraph"/>
        <w:numPr>
          <w:ilvl w:val="0"/>
          <w:numId w:val="1"/>
        </w:numPr>
      </w:pPr>
      <w:r>
        <w:t xml:space="preserve">Body and Face Paint. Eye Product: Facial make up &amp; Foundation. </w:t>
      </w:r>
      <w:r w:rsidR="00B43AFD">
        <w:t xml:space="preserve">Make-up remover for face, </w:t>
      </w:r>
      <w:proofErr w:type="gramStart"/>
      <w:r w:rsidR="00B43AFD">
        <w:t>eyes</w:t>
      </w:r>
      <w:proofErr w:type="gramEnd"/>
      <w:r w:rsidR="00B43AFD">
        <w:t xml:space="preserve"> and lips. Nose pore strips. Wipes or refreshing tissues for face, neck, hands </w:t>
      </w:r>
      <w:proofErr w:type="gramStart"/>
      <w:r w:rsidR="00B43AFD">
        <w:t>body</w:t>
      </w:r>
      <w:proofErr w:type="gramEnd"/>
    </w:p>
    <w:p w14:paraId="61DE07CC" w14:textId="1DA47249" w:rsidR="00B43AFD" w:rsidRDefault="00B43AFD" w:rsidP="00DD0C81">
      <w:pPr>
        <w:pStyle w:val="ListParagraph"/>
        <w:numPr>
          <w:ilvl w:val="0"/>
          <w:numId w:val="1"/>
        </w:numPr>
      </w:pPr>
      <w:r>
        <w:t xml:space="preserve">Fine fragrance of all types (eau de toilette, parfum, cologne, solid perfume, fragrance cream, aftershave, </w:t>
      </w:r>
      <w:proofErr w:type="spellStart"/>
      <w:r>
        <w:t>etc</w:t>
      </w:r>
      <w:proofErr w:type="spellEnd"/>
      <w:r>
        <w:t>). Fragranced bracelets. Perfume kit. Scent pads.</w:t>
      </w:r>
    </w:p>
    <w:p w14:paraId="6C96BE92" w14:textId="08603999" w:rsidR="00B43AFD" w:rsidRDefault="00B43AFD" w:rsidP="00DD0C81">
      <w:pPr>
        <w:pStyle w:val="ListParagraph"/>
        <w:numPr>
          <w:ilvl w:val="0"/>
          <w:numId w:val="1"/>
        </w:numPr>
      </w:pPr>
    </w:p>
    <w:p w14:paraId="3350C9A5" w14:textId="1AF2C3B8" w:rsidR="00B43AFD" w:rsidRDefault="00B43AFD" w:rsidP="00B43AFD">
      <w:pPr>
        <w:pStyle w:val="ListParagraph"/>
        <w:numPr>
          <w:ilvl w:val="1"/>
          <w:numId w:val="1"/>
        </w:numPr>
      </w:pPr>
      <w:r>
        <w:t xml:space="preserve">All powders, </w:t>
      </w:r>
      <w:proofErr w:type="spellStart"/>
      <w:r>
        <w:t>tacs</w:t>
      </w:r>
      <w:proofErr w:type="spellEnd"/>
      <w:r>
        <w:t xml:space="preserve"> (excluding baby products). Body creams, oils lotions of all types. Foot care products. Insect repellent (intended to be applied to the skin).</w:t>
      </w:r>
    </w:p>
    <w:p w14:paraId="656E98D3" w14:textId="09A7D5DA" w:rsidR="00B43AFD" w:rsidRDefault="00B43AFD" w:rsidP="00B43AFD">
      <w:pPr>
        <w:pStyle w:val="ListParagraph"/>
        <w:numPr>
          <w:ilvl w:val="1"/>
          <w:numId w:val="1"/>
        </w:numPr>
      </w:pPr>
      <w:r>
        <w:t>Face Toner. Facial moisturizer and creams.</w:t>
      </w:r>
    </w:p>
    <w:p w14:paraId="21D5F60B" w14:textId="32AC769F" w:rsidR="00B43AFD" w:rsidRDefault="00B43AFD" w:rsidP="00B43AFD">
      <w:pPr>
        <w:pStyle w:val="ListParagraph"/>
        <w:numPr>
          <w:ilvl w:val="1"/>
          <w:numId w:val="1"/>
        </w:numPr>
      </w:pPr>
      <w:r>
        <w:t>Hand Cream. Hand sanitizers. Nail care products.</w:t>
      </w:r>
    </w:p>
    <w:p w14:paraId="0D80ABF7" w14:textId="67CB9B20" w:rsidR="00B43AFD" w:rsidRDefault="00B43AFD" w:rsidP="00B43AFD">
      <w:pPr>
        <w:pStyle w:val="ListParagraph"/>
        <w:numPr>
          <w:ilvl w:val="1"/>
          <w:numId w:val="1"/>
        </w:numPr>
      </w:pPr>
      <w:r>
        <w:t xml:space="preserve">Baby cream/lotion, baby oil, baby powders and </w:t>
      </w:r>
      <w:proofErr w:type="spellStart"/>
      <w:r>
        <w:t>talcs</w:t>
      </w:r>
      <w:proofErr w:type="spellEnd"/>
    </w:p>
    <w:p w14:paraId="1A39BD10" w14:textId="665A4DE8" w:rsidR="00B43AFD" w:rsidRDefault="00B43AFD" w:rsidP="00B43AFD">
      <w:pPr>
        <w:pStyle w:val="ListParagraph"/>
        <w:numPr>
          <w:ilvl w:val="0"/>
          <w:numId w:val="1"/>
        </w:numPr>
      </w:pPr>
      <w:r>
        <w:t>Mouthwash, including breath sprays. Toothpaste.</w:t>
      </w:r>
    </w:p>
    <w:p w14:paraId="092F3F50" w14:textId="35CD14A4" w:rsidR="00B43AFD" w:rsidRDefault="00B43AFD" w:rsidP="00B43AFD">
      <w:pPr>
        <w:pStyle w:val="ListParagraph"/>
        <w:numPr>
          <w:ilvl w:val="0"/>
          <w:numId w:val="1"/>
        </w:numPr>
      </w:pPr>
      <w:r>
        <w:t xml:space="preserve"> </w:t>
      </w:r>
    </w:p>
    <w:p w14:paraId="5CE51083" w14:textId="23A7CCEA" w:rsidR="00B43AFD" w:rsidRDefault="00B43AFD" w:rsidP="00B43AFD">
      <w:pPr>
        <w:pStyle w:val="ListParagraph"/>
        <w:numPr>
          <w:ilvl w:val="1"/>
          <w:numId w:val="1"/>
        </w:numPr>
      </w:pPr>
      <w:r>
        <w:t xml:space="preserve">Hair Permanent or other hair chemical treatments (rinse-off). Hair deodorizer, perfumes. Hair permanent or other hair chemical treatments (leave-on) </w:t>
      </w:r>
    </w:p>
    <w:p w14:paraId="2C816672" w14:textId="03553602" w:rsidR="00B43AFD" w:rsidRDefault="00B43AFD" w:rsidP="00B43AFD">
      <w:pPr>
        <w:pStyle w:val="ListParagraph"/>
        <w:numPr>
          <w:ilvl w:val="1"/>
          <w:numId w:val="1"/>
        </w:numPr>
      </w:pPr>
      <w:r>
        <w:t xml:space="preserve">Hair sprays of all types (pumps, aerosol sprays, </w:t>
      </w:r>
      <w:proofErr w:type="spellStart"/>
      <w:r>
        <w:t>etc</w:t>
      </w:r>
      <w:proofErr w:type="spellEnd"/>
      <w:r>
        <w:t>). Hair styling aids non-sprays (mousse, gels, leave in conditioners). Shampoo – Dry</w:t>
      </w:r>
    </w:p>
    <w:p w14:paraId="2CE68A53" w14:textId="2A98A582" w:rsidR="00B43AFD" w:rsidRDefault="00B43AFD" w:rsidP="00B43AFD">
      <w:pPr>
        <w:pStyle w:val="ListParagraph"/>
        <w:numPr>
          <w:ilvl w:val="0"/>
          <w:numId w:val="1"/>
        </w:numPr>
      </w:pPr>
      <w:r>
        <w:t xml:space="preserve">Baby Wipes. Intimate deodorant sprays (Leave-on). </w:t>
      </w:r>
      <w:proofErr w:type="spellStart"/>
      <w:r>
        <w:t>Initimate</w:t>
      </w:r>
      <w:proofErr w:type="spellEnd"/>
      <w:r>
        <w:t xml:space="preserve"> Wipes. </w:t>
      </w:r>
      <w:proofErr w:type="spellStart"/>
      <w:r>
        <w:t>Tampos</w:t>
      </w:r>
      <w:proofErr w:type="spellEnd"/>
      <w:r>
        <w:t>. Toilet Paper (wet)</w:t>
      </w:r>
    </w:p>
    <w:p w14:paraId="7CE97BF4" w14:textId="0BF36314" w:rsidR="00B43AFD" w:rsidRDefault="00B43AFD" w:rsidP="00B43AFD">
      <w:pPr>
        <w:pStyle w:val="ListParagraph"/>
        <w:numPr>
          <w:ilvl w:val="0"/>
          <w:numId w:val="1"/>
        </w:numPr>
      </w:pPr>
      <w:r>
        <w:t xml:space="preserve">All depilatories (including facial) and waxes for mechanical hair removal. Baby wash, bath, shampoo. Bar Soap. Bath gels, foams, mousses, salts, </w:t>
      </w:r>
      <w:proofErr w:type="gramStart"/>
      <w:r>
        <w:t>oils</w:t>
      </w:r>
      <w:proofErr w:type="gramEnd"/>
      <w:r>
        <w:t xml:space="preserve"> and other products added to bathwater. Body washes and shower gels of all types. Cleanser for face, </w:t>
      </w:r>
      <w:proofErr w:type="gramStart"/>
      <w:r>
        <w:t>eyes</w:t>
      </w:r>
      <w:proofErr w:type="gramEnd"/>
      <w:r>
        <w:t xml:space="preserve"> and lips. Conditioner (Rinse-off). Foot care products (feet are placed in a bath for soaking). Liquid soap. Shampoo of all types. Shampoos for </w:t>
      </w:r>
      <w:proofErr w:type="gramStart"/>
      <w:r>
        <w:t>pet</w:t>
      </w:r>
      <w:proofErr w:type="gramEnd"/>
      <w:r>
        <w:t xml:space="preserve">. Shaving creams of all types (stick, gels, foams, </w:t>
      </w:r>
      <w:proofErr w:type="spellStart"/>
      <w:r>
        <w:t>etc</w:t>
      </w:r>
      <w:proofErr w:type="spellEnd"/>
      <w:r>
        <w:t>).</w:t>
      </w:r>
    </w:p>
    <w:p w14:paraId="35221C8E" w14:textId="78AE50DE" w:rsidR="00B43AFD" w:rsidRDefault="00B43AFD" w:rsidP="00B43AFD">
      <w:pPr>
        <w:pStyle w:val="ListParagraph"/>
        <w:numPr>
          <w:ilvl w:val="0"/>
          <w:numId w:val="1"/>
        </w:numPr>
      </w:pPr>
      <w:r>
        <w:t xml:space="preserve"> </w:t>
      </w:r>
    </w:p>
    <w:p w14:paraId="65F4670F" w14:textId="12075BDA" w:rsidR="00B43AFD" w:rsidRDefault="00B43AFD" w:rsidP="00B43AFD">
      <w:pPr>
        <w:pStyle w:val="ListParagraph"/>
        <w:numPr>
          <w:ilvl w:val="1"/>
          <w:numId w:val="1"/>
        </w:numPr>
      </w:pPr>
      <w:r>
        <w:t xml:space="preserve">Dry cleaning kits. Fabric softeners of all </w:t>
      </w:r>
      <w:r w:rsidR="00587A60">
        <w:t xml:space="preserve">types (excluding fabric softener sheets). Floor wax. Fragranced oil for lamp ring, reed diffusers, pot </w:t>
      </w:r>
      <w:proofErr w:type="spellStart"/>
      <w:r w:rsidR="00587A60">
        <w:t>pourre</w:t>
      </w:r>
      <w:proofErr w:type="spellEnd"/>
      <w:r w:rsidR="00587A60">
        <w:t xml:space="preserve">, etc. Hand dishwashing detergent. Hand wash laundry detergent. Hard surface cleaners of all types. Household cleaning products. </w:t>
      </w:r>
      <w:proofErr w:type="spellStart"/>
      <w:r w:rsidR="00587A60">
        <w:t>Landury</w:t>
      </w:r>
      <w:proofErr w:type="spellEnd"/>
      <w:r w:rsidR="00587A60">
        <w:t xml:space="preserve"> pre-treatment of all types. Machine laundry detergents with skin contacts. Toilet seat wipes.</w:t>
      </w:r>
    </w:p>
    <w:p w14:paraId="31999083" w14:textId="4EEDD537" w:rsidR="00587A60" w:rsidRDefault="00587A60" w:rsidP="00B43AFD">
      <w:pPr>
        <w:pStyle w:val="ListParagraph"/>
        <w:numPr>
          <w:ilvl w:val="1"/>
          <w:numId w:val="1"/>
        </w:numPr>
      </w:pPr>
      <w:r>
        <w:t xml:space="preserve">Aerosol/spray </w:t>
      </w:r>
      <w:proofErr w:type="spellStart"/>
      <w:r>
        <w:t>insectisides</w:t>
      </w:r>
      <w:proofErr w:type="spellEnd"/>
      <w:r>
        <w:t>. Air freshener sprays, including aerosol and pump. Sprays applied to animals.</w:t>
      </w:r>
    </w:p>
    <w:p w14:paraId="7B9C8D0D" w14:textId="77777777" w:rsidR="00405A5F" w:rsidRDefault="00405A5F" w:rsidP="00405A5F"/>
    <w:p w14:paraId="0D737F82" w14:textId="22EF4FAE" w:rsidR="00587A60" w:rsidRDefault="00587A60" w:rsidP="00587A60">
      <w:pPr>
        <w:pStyle w:val="ListParagraph"/>
        <w:numPr>
          <w:ilvl w:val="0"/>
          <w:numId w:val="1"/>
        </w:numPr>
      </w:pPr>
      <w:r>
        <w:lastRenderedPageBreak/>
        <w:t xml:space="preserve"> </w:t>
      </w:r>
    </w:p>
    <w:p w14:paraId="4AEC6C27" w14:textId="114E7267" w:rsidR="00587A60" w:rsidRDefault="00587A60" w:rsidP="00587A60">
      <w:pPr>
        <w:pStyle w:val="ListParagraph"/>
        <w:numPr>
          <w:ilvl w:val="1"/>
          <w:numId w:val="1"/>
        </w:numPr>
      </w:pPr>
      <w:r>
        <w:t xml:space="preserve">Adult </w:t>
      </w:r>
      <w:proofErr w:type="spellStart"/>
      <w:r>
        <w:t>incontincence</w:t>
      </w:r>
      <w:proofErr w:type="spellEnd"/>
      <w:r>
        <w:t xml:space="preserve"> pant, pad. Diapers (baby and adult). Feminine hygiene conventional pads, liners, </w:t>
      </w:r>
      <w:proofErr w:type="spellStart"/>
      <w:r>
        <w:t>interlabial</w:t>
      </w:r>
      <w:proofErr w:type="spellEnd"/>
      <w:r>
        <w:t xml:space="preserve"> pads. Toilet paper (dry).</w:t>
      </w:r>
    </w:p>
    <w:p w14:paraId="323787B7" w14:textId="1D1A72CD" w:rsidR="00587A60" w:rsidRDefault="00587A60" w:rsidP="00587A60">
      <w:pPr>
        <w:pStyle w:val="ListParagraph"/>
        <w:numPr>
          <w:ilvl w:val="1"/>
          <w:numId w:val="1"/>
        </w:numPr>
      </w:pPr>
      <w:r>
        <w:t>Facial masks. Fertilizers. Napkins, Paper towels. Pillow spray (leave-on). Scented socks, gloves. Tights with moisturizers. Wheat bags.</w:t>
      </w:r>
    </w:p>
    <w:p w14:paraId="5D5E7390" w14:textId="74B253B9" w:rsidR="00587A60" w:rsidRDefault="00587A60" w:rsidP="00587A60">
      <w:pPr>
        <w:pStyle w:val="ListParagraph"/>
        <w:numPr>
          <w:ilvl w:val="0"/>
          <w:numId w:val="1"/>
        </w:numPr>
      </w:pPr>
      <w:r>
        <w:t xml:space="preserve">Air delivery systems. Air fresheners and </w:t>
      </w:r>
      <w:proofErr w:type="spellStart"/>
      <w:r>
        <w:t>fragrancing</w:t>
      </w:r>
      <w:proofErr w:type="spellEnd"/>
      <w:r>
        <w:t xml:space="preserve"> of all types. Incense. Liquid refills. Air freshening crystals. Candles. Cat litter. Cell phone cases. Deodorizers/maskers not intended for skin </w:t>
      </w:r>
      <w:proofErr w:type="spellStart"/>
      <w:proofErr w:type="gramStart"/>
      <w:r>
        <w:t>conatct</w:t>
      </w:r>
      <w:proofErr w:type="spellEnd"/>
      <w:proofErr w:type="gramEnd"/>
      <w:r>
        <w:t>. Dishwash detergent and deodorizers (machine wash). Dry cleaning kits (placed in the dryer). Dryer sheets, fabric softener sheets (placed in the dryer). Fuels, paints.</w:t>
      </w:r>
    </w:p>
    <w:p w14:paraId="25265727" w14:textId="77777777" w:rsidR="0030755B" w:rsidRDefault="0030755B"/>
    <w:p w14:paraId="17A4EDE7" w14:textId="77777777" w:rsidR="0030755B" w:rsidRDefault="0030755B"/>
    <w:p w14:paraId="2BB1C95C" w14:textId="77777777" w:rsidR="0030755B" w:rsidRDefault="0030755B"/>
    <w:p w14:paraId="15070362" w14:textId="2D478478" w:rsidR="0030755B" w:rsidRDefault="0030755B">
      <w:r>
        <w:t xml:space="preserve">For all other applications, or use at higher concentration levels, a new evaluation will be required. </w:t>
      </w:r>
    </w:p>
    <w:p w14:paraId="724D58D9" w14:textId="77777777" w:rsidR="0030755B" w:rsidRDefault="0030755B">
      <w:r>
        <w:t>The IFRA standards regarding use restrictions are based on safety assessments by the Research Institute for Fragrance Materials (</w:t>
      </w:r>
      <w:proofErr w:type="spellStart"/>
      <w:r>
        <w:t>RIFM</w:t>
      </w:r>
      <w:proofErr w:type="spellEnd"/>
      <w:r>
        <w:t>) Expert Panel (</w:t>
      </w:r>
      <w:proofErr w:type="spellStart"/>
      <w:r>
        <w:t>REXPAN</w:t>
      </w:r>
      <w:proofErr w:type="spellEnd"/>
      <w:proofErr w:type="gramStart"/>
      <w:r>
        <w:t>), and</w:t>
      </w:r>
      <w:proofErr w:type="gramEnd"/>
      <w:r>
        <w:t xml:space="preserve"> are enforced by the IFRA Scientific Committee. Evaluation of individual fragrance materials is made according to the safety standards contained in the relevant section of the IFRA Code of Practice. </w:t>
      </w:r>
    </w:p>
    <w:p w14:paraId="3AC8ADE2" w14:textId="77777777" w:rsidR="0030755B" w:rsidRDefault="0030755B">
      <w:r>
        <w:t xml:space="preserve">It is the ultimate responsibility of the customer to ensure the safety of the final product containing this fragrance, by further testing, if necessary. </w:t>
      </w:r>
    </w:p>
    <w:p w14:paraId="3DFCDA21" w14:textId="1A61C0A9" w:rsidR="0030755B" w:rsidRDefault="0030755B">
      <w:r>
        <w:t xml:space="preserve">The </w:t>
      </w:r>
      <w:proofErr w:type="gramStart"/>
      <w:r>
        <w:t>above mentioned</w:t>
      </w:r>
      <w:proofErr w:type="gramEnd"/>
      <w:r>
        <w:t xml:space="preserve"> fragrance products contains ingredients which are NOT considered GRAS, Generally Regarded as Safe as a Flavor Ingredient</w:t>
      </w:r>
    </w:p>
    <w:sectPr w:rsidR="0030755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BA04B" w14:textId="77777777" w:rsidR="007A5E64" w:rsidRDefault="007A5E64" w:rsidP="0030755B">
      <w:pPr>
        <w:spacing w:after="0" w:line="240" w:lineRule="auto"/>
      </w:pPr>
      <w:r>
        <w:separator/>
      </w:r>
    </w:p>
  </w:endnote>
  <w:endnote w:type="continuationSeparator" w:id="0">
    <w:p w14:paraId="1D72AAB7" w14:textId="77777777" w:rsidR="007A5E64" w:rsidRDefault="007A5E64" w:rsidP="00307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79946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C0DAA1" w14:textId="0B77A844" w:rsidR="00587A60" w:rsidRDefault="00587A6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A2160D" w14:textId="4369B7E6" w:rsidR="00587A60" w:rsidRDefault="00587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58531" w14:textId="77777777" w:rsidR="007A5E64" w:rsidRDefault="007A5E64" w:rsidP="0030755B">
      <w:pPr>
        <w:spacing w:after="0" w:line="240" w:lineRule="auto"/>
      </w:pPr>
      <w:r>
        <w:separator/>
      </w:r>
    </w:p>
  </w:footnote>
  <w:footnote w:type="continuationSeparator" w:id="0">
    <w:p w14:paraId="31E49E6C" w14:textId="77777777" w:rsidR="007A5E64" w:rsidRDefault="007A5E64" w:rsidP="00307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F8045" w14:textId="15A2CCED" w:rsidR="0030755B" w:rsidRDefault="0030755B" w:rsidP="0030755B">
    <w:pPr>
      <w:pStyle w:val="Header"/>
      <w:jc w:val="center"/>
      <w:rPr>
        <w:sz w:val="72"/>
        <w:szCs w:val="72"/>
      </w:rPr>
    </w:pPr>
    <w:proofErr w:type="spellStart"/>
    <w:r w:rsidRPr="0030755B">
      <w:rPr>
        <w:sz w:val="72"/>
        <w:szCs w:val="72"/>
      </w:rPr>
      <w:t>Kandila</w:t>
    </w:r>
    <w:proofErr w:type="spellEnd"/>
    <w:r w:rsidRPr="0030755B">
      <w:rPr>
        <w:sz w:val="72"/>
        <w:szCs w:val="72"/>
      </w:rPr>
      <w:t xml:space="preserve"> Supply</w:t>
    </w:r>
  </w:p>
  <w:p w14:paraId="595C5D79" w14:textId="6F9E4A53" w:rsidR="0030755B" w:rsidRDefault="0030755B" w:rsidP="0030755B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KandilaSupply.com</w:t>
    </w:r>
  </w:p>
  <w:p w14:paraId="5AB2934A" w14:textId="77777777" w:rsidR="00587A60" w:rsidRDefault="00587A60" w:rsidP="0030755B">
    <w:pPr>
      <w:pStyle w:val="Header"/>
      <w:jc w:val="center"/>
      <w:rPr>
        <w:sz w:val="24"/>
        <w:szCs w:val="24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940"/>
      <w:gridCol w:w="4410"/>
    </w:tblGrid>
    <w:tr w:rsidR="00587A60" w:rsidRPr="0030755B" w14:paraId="2AB2ADFC" w14:textId="77777777" w:rsidTr="00481110">
      <w:tc>
        <w:tcPr>
          <w:tcW w:w="4940" w:type="dxa"/>
        </w:tcPr>
        <w:p w14:paraId="21786ACC" w14:textId="77777777" w:rsidR="00587A60" w:rsidRPr="0030755B" w:rsidRDefault="00587A60" w:rsidP="00587A60">
          <w:r w:rsidRPr="0030755B">
            <w:t>Product Name:</w:t>
          </w:r>
        </w:p>
      </w:tc>
      <w:tc>
        <w:tcPr>
          <w:tcW w:w="4410" w:type="dxa"/>
        </w:tcPr>
        <w:p w14:paraId="23A5CCE8" w14:textId="5EBB4FDD" w:rsidR="00E5175C" w:rsidRPr="0030755B" w:rsidRDefault="00CD7285" w:rsidP="00587A60">
          <w:r>
            <w:t>Lychee</w:t>
          </w:r>
        </w:p>
      </w:tc>
    </w:tr>
    <w:tr w:rsidR="00587A60" w:rsidRPr="0030755B" w14:paraId="1255555C" w14:textId="77777777" w:rsidTr="00481110">
      <w:tc>
        <w:tcPr>
          <w:tcW w:w="4940" w:type="dxa"/>
        </w:tcPr>
        <w:p w14:paraId="23C95DE3" w14:textId="77777777" w:rsidR="00587A60" w:rsidRPr="0030755B" w:rsidRDefault="00587A60" w:rsidP="00587A60">
          <w:r w:rsidRPr="0030755B">
            <w:t>Company:</w:t>
          </w:r>
        </w:p>
      </w:tc>
      <w:tc>
        <w:tcPr>
          <w:tcW w:w="4410" w:type="dxa"/>
        </w:tcPr>
        <w:p w14:paraId="7F238FEC" w14:textId="77777777" w:rsidR="00587A60" w:rsidRPr="0030755B" w:rsidRDefault="00587A60" w:rsidP="00587A60">
          <w:proofErr w:type="spellStart"/>
          <w:r>
            <w:t>Kandila</w:t>
          </w:r>
          <w:proofErr w:type="spellEnd"/>
          <w:r>
            <w:t xml:space="preserve"> Supply</w:t>
          </w:r>
        </w:p>
      </w:tc>
    </w:tr>
    <w:tr w:rsidR="00587A60" w:rsidRPr="0030755B" w14:paraId="6E06A02E" w14:textId="77777777" w:rsidTr="00481110">
      <w:tc>
        <w:tcPr>
          <w:tcW w:w="4940" w:type="dxa"/>
        </w:tcPr>
        <w:p w14:paraId="6EB87160" w14:textId="77777777" w:rsidR="00587A60" w:rsidRPr="0030755B" w:rsidRDefault="00587A60" w:rsidP="00587A60">
          <w:r w:rsidRPr="0030755B">
            <w:t>Date Prepared:</w:t>
          </w:r>
        </w:p>
      </w:tc>
      <w:tc>
        <w:tcPr>
          <w:tcW w:w="4410" w:type="dxa"/>
        </w:tcPr>
        <w:p w14:paraId="34E2709A" w14:textId="77777777" w:rsidR="00587A60" w:rsidRPr="0030755B" w:rsidRDefault="00587A60" w:rsidP="00587A60">
          <w:r>
            <w:t>05/21/2024</w:t>
          </w:r>
        </w:p>
      </w:tc>
    </w:tr>
  </w:tbl>
  <w:p w14:paraId="3D05C58C" w14:textId="77777777" w:rsidR="00587A60" w:rsidRDefault="00587A60" w:rsidP="0030755B">
    <w:pPr>
      <w:pStyle w:val="Header"/>
      <w:jc w:val="center"/>
      <w:rPr>
        <w:sz w:val="24"/>
        <w:szCs w:val="24"/>
      </w:rPr>
    </w:pPr>
  </w:p>
  <w:p w14:paraId="6EE829FB" w14:textId="77777777" w:rsidR="0030755B" w:rsidRPr="0030755B" w:rsidRDefault="0030755B" w:rsidP="0030755B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B1607A"/>
    <w:multiLevelType w:val="hybridMultilevel"/>
    <w:tmpl w:val="3AFC4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12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5B"/>
    <w:rsid w:val="00004117"/>
    <w:rsid w:val="00047BB3"/>
    <w:rsid w:val="00224072"/>
    <w:rsid w:val="0030755B"/>
    <w:rsid w:val="003649EA"/>
    <w:rsid w:val="00371C6E"/>
    <w:rsid w:val="00380243"/>
    <w:rsid w:val="003851DC"/>
    <w:rsid w:val="003C006A"/>
    <w:rsid w:val="00405A5F"/>
    <w:rsid w:val="00491CD1"/>
    <w:rsid w:val="004E225E"/>
    <w:rsid w:val="004E2B6A"/>
    <w:rsid w:val="00524201"/>
    <w:rsid w:val="00581522"/>
    <w:rsid w:val="00587A60"/>
    <w:rsid w:val="00627A17"/>
    <w:rsid w:val="0065385C"/>
    <w:rsid w:val="00674344"/>
    <w:rsid w:val="00711F8C"/>
    <w:rsid w:val="007A5E64"/>
    <w:rsid w:val="0089328D"/>
    <w:rsid w:val="00903386"/>
    <w:rsid w:val="009F5F82"/>
    <w:rsid w:val="00AD4A83"/>
    <w:rsid w:val="00B43AFD"/>
    <w:rsid w:val="00B81D1F"/>
    <w:rsid w:val="00B83692"/>
    <w:rsid w:val="00B94612"/>
    <w:rsid w:val="00C229F3"/>
    <w:rsid w:val="00C42E51"/>
    <w:rsid w:val="00CB5ECC"/>
    <w:rsid w:val="00CD6636"/>
    <w:rsid w:val="00CD7285"/>
    <w:rsid w:val="00DD0C81"/>
    <w:rsid w:val="00E5175C"/>
    <w:rsid w:val="00E81FF8"/>
    <w:rsid w:val="00ED60CA"/>
    <w:rsid w:val="00F7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6947D"/>
  <w15:chartTrackingRefBased/>
  <w15:docId w15:val="{218675DF-1149-42DB-9179-CA943D8D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5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5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5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5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5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5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5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5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7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55B"/>
  </w:style>
  <w:style w:type="paragraph" w:styleId="Footer">
    <w:name w:val="footer"/>
    <w:basedOn w:val="Normal"/>
    <w:link w:val="FooterChar"/>
    <w:uiPriority w:val="99"/>
    <w:unhideWhenUsed/>
    <w:rsid w:val="00307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Vernon Rodriguez</dc:creator>
  <cp:keywords/>
  <dc:description/>
  <cp:lastModifiedBy>Vernon Rodriguez</cp:lastModifiedBy>
  <cp:revision>4</cp:revision>
  <dcterms:created xsi:type="dcterms:W3CDTF">2024-05-22T04:12:00Z</dcterms:created>
  <dcterms:modified xsi:type="dcterms:W3CDTF">2024-05-22T04:13:00Z</dcterms:modified>
</cp:coreProperties>
</file>