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F343" w14:textId="28D1096E" w:rsidR="00BE0967" w:rsidRPr="009B12CC" w:rsidRDefault="009B12CC" w:rsidP="009B12CC">
      <w:pPr>
        <w:jc w:val="center"/>
        <w:rPr>
          <w:rFonts w:ascii="Andale Mono" w:hAnsi="Andale Mono"/>
          <w:color w:val="FF0000"/>
          <w:sz w:val="32"/>
          <w:szCs w:val="32"/>
        </w:rPr>
      </w:pPr>
      <w:r w:rsidRPr="009B12CC">
        <w:rPr>
          <w:rFonts w:ascii="Andale Mono" w:hAnsi="Andale Mono"/>
          <w:color w:val="FF0000"/>
          <w:sz w:val="32"/>
          <w:szCs w:val="32"/>
        </w:rPr>
        <w:t>FICHE 17 : PROVISIONS</w:t>
      </w:r>
    </w:p>
    <w:p w14:paraId="445C8090" w14:textId="76639601" w:rsidR="009B12CC" w:rsidRDefault="009B12CC"/>
    <w:p w14:paraId="657E8FEC" w14:textId="43643404" w:rsidR="009B12CC" w:rsidRDefault="009B12CC"/>
    <w:p w14:paraId="762C4AC7" w14:textId="77777777" w:rsidR="009B12CC" w:rsidRDefault="009B12CC"/>
    <w:p w14:paraId="16C8BDF5" w14:textId="77777777" w:rsidR="009B12CC" w:rsidRPr="00823CFB" w:rsidRDefault="009B12CC" w:rsidP="009B12CC">
      <w:pPr>
        <w:pStyle w:val="Paragraphedeliste"/>
        <w:numPr>
          <w:ilvl w:val="0"/>
          <w:numId w:val="1"/>
        </w:numPr>
        <w:jc w:val="both"/>
        <w:rPr>
          <w:rFonts w:ascii="Andale Mono" w:hAnsi="Andale Mono"/>
          <w:sz w:val="28"/>
          <w:szCs w:val="28"/>
        </w:rPr>
      </w:pPr>
      <w:r w:rsidRPr="009D08A3">
        <w:rPr>
          <w:rFonts w:ascii="Andale Mono" w:hAnsi="Andale Mono"/>
          <w:sz w:val="28"/>
          <w:szCs w:val="28"/>
        </w:rPr>
        <w:t xml:space="preserve">Définition </w:t>
      </w:r>
    </w:p>
    <w:p w14:paraId="2E2C2FBB" w14:textId="77777777" w:rsidR="009B12CC" w:rsidRDefault="009B12CC" w:rsidP="009B12CC">
      <w:pPr>
        <w:pStyle w:val="Paragraphedeliste"/>
        <w:numPr>
          <w:ilvl w:val="0"/>
          <w:numId w:val="2"/>
        </w:numPr>
        <w:jc w:val="both"/>
        <w:rPr>
          <w:rFonts w:ascii="Avenir Next" w:hAnsi="Avenir Next"/>
          <w:sz w:val="28"/>
          <w:szCs w:val="28"/>
        </w:rPr>
      </w:pPr>
      <w:r w:rsidRPr="009D08A3">
        <w:rPr>
          <w:rFonts w:ascii="Avenir Next" w:hAnsi="Avenir Next"/>
          <w:sz w:val="28"/>
          <w:szCs w:val="28"/>
        </w:rPr>
        <w:t>Justification de la comptabilisation d’une provision</w:t>
      </w:r>
    </w:p>
    <w:p w14:paraId="702FD699" w14:textId="77777777" w:rsidR="009B12CC" w:rsidRDefault="009B12CC" w:rsidP="009B12CC">
      <w:pPr>
        <w:jc w:val="both"/>
      </w:pPr>
      <w:r>
        <w:t xml:space="preserve">La comptabilisation d’une provision pose 2 problématiques principales : </w:t>
      </w:r>
    </w:p>
    <w:p w14:paraId="7648983A" w14:textId="77777777" w:rsidR="009B12CC" w:rsidRDefault="009B12CC" w:rsidP="009B12CC">
      <w:pPr>
        <w:pStyle w:val="Paragraphedeliste"/>
        <w:numPr>
          <w:ilvl w:val="0"/>
          <w:numId w:val="3"/>
        </w:numPr>
        <w:jc w:val="both"/>
      </w:pPr>
      <w:r>
        <w:t>Identifier les évènements de l’exercice qui pourront engendrer un risque de sortie de ressources sans contrepartie au moins équivalente</w:t>
      </w:r>
    </w:p>
    <w:p w14:paraId="5A04D198" w14:textId="77777777" w:rsidR="009B12CC" w:rsidRDefault="009B12CC" w:rsidP="009B12CC">
      <w:pPr>
        <w:pStyle w:val="Paragraphedeliste"/>
        <w:numPr>
          <w:ilvl w:val="0"/>
          <w:numId w:val="3"/>
        </w:numPr>
        <w:jc w:val="both"/>
      </w:pPr>
      <w:r>
        <w:t>Évaluer le montant de la provision une fois le risque identifié</w:t>
      </w:r>
    </w:p>
    <w:p w14:paraId="05E99D0C" w14:textId="77777777" w:rsidR="009B12CC" w:rsidRDefault="009B12CC" w:rsidP="009B12CC">
      <w:pPr>
        <w:pStyle w:val="Paragraphedeliste"/>
      </w:pPr>
    </w:p>
    <w:p w14:paraId="6E3A8D41"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sidRPr="009D08A3">
        <w:rPr>
          <w:sz w:val="22"/>
          <w:szCs w:val="22"/>
        </w:rPr>
        <w:t>Ex : un litige avec un salarié est engagé en N, il faut prévoir de verser des dommages et intérêts à ce salarié dans un ou deux ans. Il faut aussi prévoir le montant à provisionner</w:t>
      </w:r>
    </w:p>
    <w:p w14:paraId="5749E3C8" w14:textId="77777777" w:rsidR="009B12CC" w:rsidRDefault="009B12CC" w:rsidP="009B12CC"/>
    <w:p w14:paraId="48B46285" w14:textId="77777777" w:rsidR="009B12CC" w:rsidRPr="009D08A3" w:rsidRDefault="009B12CC" w:rsidP="009B12CC"/>
    <w:p w14:paraId="4B34739D" w14:textId="77777777" w:rsidR="009B12CC" w:rsidRDefault="009B12CC" w:rsidP="009B12CC">
      <w:pPr>
        <w:pStyle w:val="Paragraphedeliste"/>
        <w:numPr>
          <w:ilvl w:val="0"/>
          <w:numId w:val="2"/>
        </w:numPr>
        <w:jc w:val="both"/>
        <w:rPr>
          <w:rFonts w:ascii="Avenir Next" w:hAnsi="Avenir Next"/>
          <w:sz w:val="28"/>
          <w:szCs w:val="28"/>
        </w:rPr>
      </w:pPr>
      <w:r w:rsidRPr="009D08A3">
        <w:rPr>
          <w:rFonts w:ascii="Avenir Next" w:hAnsi="Avenir Next"/>
          <w:sz w:val="28"/>
          <w:szCs w:val="28"/>
        </w:rPr>
        <w:t>Définitions</w:t>
      </w:r>
    </w:p>
    <w:p w14:paraId="36442C12" w14:textId="77777777" w:rsidR="009B12CC" w:rsidRPr="009D08A3" w:rsidRDefault="009B12CC" w:rsidP="009B12CC">
      <w:pPr>
        <w:pStyle w:val="Paragraphedeliste"/>
        <w:numPr>
          <w:ilvl w:val="0"/>
          <w:numId w:val="4"/>
        </w:numPr>
      </w:pPr>
      <w:r>
        <w:t>Définition de passif (PCG art 321-1)</w:t>
      </w:r>
    </w:p>
    <w:p w14:paraId="705B86CD" w14:textId="77777777" w:rsidR="009B12CC" w:rsidRDefault="009B12CC" w:rsidP="009B12CC">
      <w:pPr>
        <w:jc w:val="both"/>
      </w:pPr>
      <w:r>
        <w:t>Un passif est un élément du patrimoine ayant une valeur négative pour l’entité c’est à dire une obligation de l’entité à l’égard d’un tiers dont il est probable ou certain qu’elle provoquera une sortie de ressources sans contrepartie au moins équivalente.</w:t>
      </w:r>
    </w:p>
    <w:p w14:paraId="024F65A1" w14:textId="77777777" w:rsidR="009B12CC" w:rsidRDefault="009B12CC" w:rsidP="009B12CC">
      <w:pPr>
        <w:jc w:val="both"/>
      </w:pPr>
    </w:p>
    <w:p w14:paraId="3AFA8E68" w14:textId="77777777" w:rsidR="009B12CC" w:rsidRDefault="009B12CC" w:rsidP="009B12CC">
      <w:pPr>
        <w:pStyle w:val="Paragraphedeliste"/>
        <w:numPr>
          <w:ilvl w:val="0"/>
          <w:numId w:val="4"/>
        </w:numPr>
        <w:jc w:val="both"/>
      </w:pPr>
      <w:r>
        <w:t>Les différentes catégories de passif</w:t>
      </w:r>
    </w:p>
    <w:p w14:paraId="3935F91C" w14:textId="77777777" w:rsidR="009B12CC" w:rsidRDefault="009B12CC" w:rsidP="009B12CC">
      <w:pPr>
        <w:jc w:val="both"/>
      </w:pPr>
      <w:r>
        <w:t>Dettes : il s’agit d’un passif dont l’échéance et le montant sont fixés de manière précise. (</w:t>
      </w:r>
      <w:proofErr w:type="gramStart"/>
      <w:r>
        <w:t>ex</w:t>
      </w:r>
      <w:proofErr w:type="gramEnd"/>
      <w:r>
        <w:t xml:space="preserve"> dette envers le personnel correspondant aux salaires à verser)</w:t>
      </w:r>
    </w:p>
    <w:p w14:paraId="66A28308" w14:textId="77777777" w:rsidR="009B12CC" w:rsidRDefault="009B12CC" w:rsidP="009B12CC">
      <w:pPr>
        <w:jc w:val="both"/>
      </w:pPr>
    </w:p>
    <w:p w14:paraId="0389BE46" w14:textId="26113F9F" w:rsidR="009B12CC" w:rsidRDefault="009B12CC" w:rsidP="009B12CC">
      <w:pPr>
        <w:jc w:val="both"/>
      </w:pPr>
      <w:r>
        <w:t>Les charges à Payer : il s’agit d’un passif certain dont l’échéance ou le montant nécessite une estimation. Le degré d</w:t>
      </w:r>
      <w:r w:rsidR="00F13036">
        <w:t xml:space="preserve">e </w:t>
      </w:r>
      <w:r>
        <w:t xml:space="preserve">certitude est </w:t>
      </w:r>
      <w:r w:rsidR="00F13036">
        <w:t>plus</w:t>
      </w:r>
      <w:r>
        <w:t xml:space="preserve"> élevé que pour les provisions. (</w:t>
      </w:r>
      <w:proofErr w:type="gramStart"/>
      <w:r>
        <w:t>ex</w:t>
      </w:r>
      <w:proofErr w:type="gramEnd"/>
      <w:r>
        <w:t> : évaluation des primes à verser aux salariés, Factures non parvenue)</w:t>
      </w:r>
    </w:p>
    <w:p w14:paraId="56553A47" w14:textId="77777777" w:rsidR="009B12CC" w:rsidRDefault="009B12CC" w:rsidP="009B12CC">
      <w:pPr>
        <w:jc w:val="both"/>
      </w:pPr>
    </w:p>
    <w:p w14:paraId="1EA98E23" w14:textId="77777777" w:rsidR="009B12CC" w:rsidRDefault="009B12CC" w:rsidP="009B12CC">
      <w:pPr>
        <w:jc w:val="both"/>
      </w:pPr>
      <w:r>
        <w:t>Les provisions : il s’agit d’un passif probable dont l’échéance ou le montant ne sont pas fixés de manière précise (ex : provision pour garanties contractuelles).</w:t>
      </w:r>
    </w:p>
    <w:p w14:paraId="69BE8E1C" w14:textId="77777777" w:rsidR="009B12CC" w:rsidRDefault="009B12CC" w:rsidP="009B12CC">
      <w:pPr>
        <w:jc w:val="both"/>
      </w:pPr>
    </w:p>
    <w:p w14:paraId="4E5EA741" w14:textId="37A2F179" w:rsidR="009B12CC" w:rsidRDefault="009B12CC" w:rsidP="009B12CC">
      <w:pPr>
        <w:jc w:val="both"/>
      </w:pPr>
      <w:r>
        <w:t>Passif éventuel </w:t>
      </w:r>
      <w:r w:rsidR="00F13036">
        <w:t>ne font pas l’objet d’une provision mais d’une mention en annexe</w:t>
      </w:r>
    </w:p>
    <w:p w14:paraId="204355B6" w14:textId="77777777" w:rsidR="009B12CC" w:rsidRDefault="009B12CC" w:rsidP="009B12CC">
      <w:pPr>
        <w:pStyle w:val="Paragraphedeliste"/>
        <w:numPr>
          <w:ilvl w:val="0"/>
          <w:numId w:val="5"/>
        </w:numPr>
        <w:jc w:val="both"/>
      </w:pPr>
      <w:r>
        <w:t>Cas 1 : l’obligation potentielle de payer à l’égard d’un tiers résultant d’évènements qui ne sont pas contrôlés par l’entité</w:t>
      </w:r>
    </w:p>
    <w:p w14:paraId="523BEC93" w14:textId="77777777" w:rsidR="009B12CC" w:rsidRDefault="009B12CC" w:rsidP="009B12CC">
      <w:pPr>
        <w:pStyle w:val="Paragraphedeliste"/>
        <w:numPr>
          <w:ilvl w:val="0"/>
          <w:numId w:val="5"/>
        </w:numPr>
        <w:jc w:val="both"/>
      </w:pPr>
      <w:r>
        <w:t>Cas 2 : il s’agit d’obligation de l’entité à l’égard d’un tiers dont il n’est pas probable ou certain qu’elle provoquera une sortie de ressources sans contrepartie au moins équivalente (ex : litige avec faible probabilité de condamnation)</w:t>
      </w:r>
    </w:p>
    <w:p w14:paraId="5FEFABDA" w14:textId="77777777" w:rsidR="009B12CC" w:rsidRDefault="009B12CC" w:rsidP="009B12CC">
      <w:r>
        <w:br w:type="page"/>
      </w:r>
    </w:p>
    <w:p w14:paraId="08A0ABFB" w14:textId="77777777" w:rsidR="009B12CC" w:rsidRPr="009D08A3" w:rsidRDefault="009B12CC" w:rsidP="009B12CC">
      <w:pPr>
        <w:pStyle w:val="Paragraphedeliste"/>
        <w:numPr>
          <w:ilvl w:val="0"/>
          <w:numId w:val="2"/>
        </w:numPr>
        <w:jc w:val="both"/>
        <w:rPr>
          <w:rFonts w:ascii="Avenir Next" w:hAnsi="Avenir Next"/>
          <w:sz w:val="28"/>
          <w:szCs w:val="28"/>
        </w:rPr>
      </w:pPr>
      <w:r w:rsidRPr="009D08A3">
        <w:rPr>
          <w:rFonts w:ascii="Avenir Next" w:hAnsi="Avenir Next"/>
          <w:sz w:val="28"/>
          <w:szCs w:val="28"/>
        </w:rPr>
        <w:lastRenderedPageBreak/>
        <w:t>Conditions de comptabilisation en provision</w:t>
      </w:r>
    </w:p>
    <w:p w14:paraId="16F2713C" w14:textId="77777777" w:rsidR="009B12CC" w:rsidRDefault="009B12CC" w:rsidP="009B12CC">
      <w:pPr>
        <w:jc w:val="both"/>
      </w:pPr>
      <w:r>
        <w:t>Une provision est comptabilisée si elle réunit 4 conditions</w:t>
      </w:r>
    </w:p>
    <w:p w14:paraId="6DEED559" w14:textId="77777777" w:rsidR="009B12CC" w:rsidRDefault="009B12CC" w:rsidP="009B12CC">
      <w:pPr>
        <w:jc w:val="both"/>
      </w:pPr>
    </w:p>
    <w:p w14:paraId="7E7BAD44" w14:textId="77777777" w:rsidR="009B12CC" w:rsidRDefault="009B12CC" w:rsidP="009B12CC">
      <w:pPr>
        <w:pStyle w:val="Paragraphedeliste"/>
        <w:numPr>
          <w:ilvl w:val="0"/>
          <w:numId w:val="6"/>
        </w:numPr>
        <w:jc w:val="both"/>
      </w:pPr>
      <w:r>
        <w:t>L’existence d’une obligation actuelle envers un tiers</w:t>
      </w:r>
    </w:p>
    <w:p w14:paraId="69B3064F" w14:textId="77777777" w:rsidR="009B12CC" w:rsidRDefault="009B12CC" w:rsidP="009B12CC">
      <w:pPr>
        <w:jc w:val="both"/>
      </w:pPr>
      <w:r>
        <w:t xml:space="preserve">L’obligation peut être : </w:t>
      </w:r>
    </w:p>
    <w:p w14:paraId="1405E13D" w14:textId="77777777" w:rsidR="009B12CC" w:rsidRDefault="009B12CC" w:rsidP="009B12CC">
      <w:pPr>
        <w:pStyle w:val="Paragraphedeliste"/>
        <w:numPr>
          <w:ilvl w:val="0"/>
          <w:numId w:val="3"/>
        </w:numPr>
        <w:jc w:val="both"/>
      </w:pPr>
      <w:r>
        <w:t>Juridique : découlant des dispositions légales et réglementaires ou de stipulations contractuelles</w:t>
      </w:r>
    </w:p>
    <w:p w14:paraId="409EA126" w14:textId="77777777" w:rsidR="009B12CC" w:rsidRPr="009D08A3" w:rsidRDefault="009B12CC" w:rsidP="009B12CC">
      <w:pPr>
        <w:pStyle w:val="Paragraphedeliste"/>
        <w:numPr>
          <w:ilvl w:val="0"/>
          <w:numId w:val="3"/>
        </w:numPr>
        <w:jc w:val="both"/>
      </w:pPr>
      <w:r>
        <w:t xml:space="preserve">Implicite : découlant des usages en vigueur dans l’entreprise (ou le secteur d’activité) ou découlant de la volonté de garder de bonnes relations d’affaires. </w:t>
      </w:r>
    </w:p>
    <w:p w14:paraId="20990D4B" w14:textId="77777777" w:rsidR="009B12CC" w:rsidRPr="009D08A3" w:rsidRDefault="009B12CC" w:rsidP="00F13036">
      <w:pPr>
        <w:pBdr>
          <w:top w:val="single" w:sz="4" w:space="0"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Ex : un constructeur automobile a constaté un défaut sur ses voitures. Même s’il n’a pas l’obligation contractuelle de prendre en charge les réparations, il le fait toujours dans ces cas</w:t>
      </w:r>
      <w:r>
        <w:rPr>
          <w:sz w:val="22"/>
          <w:szCs w:val="22"/>
        </w:rPr>
        <w:t>-</w:t>
      </w:r>
      <w:r w:rsidRPr="009D08A3">
        <w:rPr>
          <w:sz w:val="22"/>
          <w:szCs w:val="22"/>
        </w:rPr>
        <w:t>là. L’entreprise devra alors constituer une provision.</w:t>
      </w:r>
    </w:p>
    <w:p w14:paraId="2A9FAB99" w14:textId="77777777" w:rsidR="009B12CC" w:rsidRDefault="009B12CC" w:rsidP="009B12CC">
      <w:pPr>
        <w:jc w:val="both"/>
      </w:pPr>
    </w:p>
    <w:p w14:paraId="4A86CCA5" w14:textId="77777777" w:rsidR="009B12CC" w:rsidRDefault="009B12CC" w:rsidP="009B12CC">
      <w:pPr>
        <w:jc w:val="both"/>
      </w:pPr>
      <w:r>
        <w:t>De plus, l’obligation doit exister à l’égard d’un tiers et non à l’égard de l’entité elle-même</w:t>
      </w:r>
    </w:p>
    <w:p w14:paraId="3065BB65" w14:textId="77777777" w:rsidR="009B12CC" w:rsidRPr="00F13036"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F13036">
        <w:rPr>
          <w:sz w:val="22"/>
          <w:szCs w:val="22"/>
        </w:rPr>
        <w:t>Ex : Un incendie détruit un hangar. L’entreprise souhaite le reconstruire mais n’a pas d’obligation vis-à-vis d’un tiers. Elle ne pourra pas provisionner le montant des réparations.</w:t>
      </w:r>
    </w:p>
    <w:p w14:paraId="49D2E948" w14:textId="77777777" w:rsidR="009B12CC" w:rsidRDefault="009B12CC" w:rsidP="009B12CC">
      <w:pPr>
        <w:jc w:val="both"/>
      </w:pPr>
    </w:p>
    <w:p w14:paraId="3B4C55F5" w14:textId="77777777" w:rsidR="009B12CC" w:rsidRDefault="009B12CC" w:rsidP="009B12CC">
      <w:pPr>
        <w:pStyle w:val="Paragraphedeliste"/>
        <w:numPr>
          <w:ilvl w:val="0"/>
          <w:numId w:val="6"/>
        </w:numPr>
        <w:jc w:val="both"/>
      </w:pPr>
      <w:r>
        <w:t>Obligation résultant d’évènements passées</w:t>
      </w:r>
    </w:p>
    <w:p w14:paraId="7A8A79EF" w14:textId="77777777" w:rsidR="009B12CC" w:rsidRDefault="009B12CC" w:rsidP="009B12CC">
      <w:pPr>
        <w:jc w:val="both"/>
      </w:pPr>
      <w:r>
        <w:t>Une provision ne peut être constatée que si à la date de clôture, le fait générateur entrainant l’obligation a eu lieu. Un évènement futur même très probable ne peut donner lieu à la constitution d’une provision.</w:t>
      </w:r>
    </w:p>
    <w:p w14:paraId="2D74AF2D" w14:textId="77777777" w:rsidR="009B12CC" w:rsidRDefault="009B12CC" w:rsidP="009B12CC">
      <w:pPr>
        <w:jc w:val="both"/>
      </w:pPr>
    </w:p>
    <w:p w14:paraId="707113CE"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Ex : une nouvelle loi en discussion et susceptibles d’engendrer des obligations futures ne peut être provisionnées.</w:t>
      </w:r>
    </w:p>
    <w:p w14:paraId="3D11CA76" w14:textId="77777777" w:rsidR="009B12CC" w:rsidRDefault="009B12CC" w:rsidP="009B12CC">
      <w:pPr>
        <w:jc w:val="both"/>
      </w:pPr>
    </w:p>
    <w:p w14:paraId="6E90D7D2" w14:textId="77777777" w:rsidR="009B12CC" w:rsidRDefault="009B12CC" w:rsidP="009B12CC">
      <w:pPr>
        <w:pStyle w:val="Paragraphedeliste"/>
        <w:numPr>
          <w:ilvl w:val="0"/>
          <w:numId w:val="6"/>
        </w:numPr>
        <w:jc w:val="both"/>
      </w:pPr>
      <w:r>
        <w:t>Probabilité de sortie de ressources</w:t>
      </w:r>
    </w:p>
    <w:p w14:paraId="45B49404" w14:textId="77777777" w:rsidR="009B12CC" w:rsidRDefault="009B12CC" w:rsidP="009B12CC">
      <w:pPr>
        <w:jc w:val="both"/>
      </w:pPr>
      <w:r>
        <w:t>L’obligation se traduit par une sortie de ressources probable sans contrepartie au moins équivalente.</w:t>
      </w:r>
    </w:p>
    <w:p w14:paraId="3B9F39B1" w14:textId="77777777" w:rsidR="009B12CC" w:rsidRDefault="009B12CC" w:rsidP="009B12CC">
      <w:pPr>
        <w:jc w:val="both"/>
      </w:pPr>
    </w:p>
    <w:p w14:paraId="667505C7" w14:textId="01168F3F"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Ex : Probabilité de paiement des dommages et intérêts dans le cadre d’un litige</w:t>
      </w:r>
    </w:p>
    <w:p w14:paraId="326B9243" w14:textId="77777777" w:rsidR="009B12CC" w:rsidRDefault="009B12CC" w:rsidP="009B12CC">
      <w:pPr>
        <w:jc w:val="both"/>
      </w:pPr>
    </w:p>
    <w:p w14:paraId="63D6EE8D" w14:textId="77777777" w:rsidR="009B12CC" w:rsidRDefault="009B12CC" w:rsidP="009B12CC">
      <w:pPr>
        <w:pStyle w:val="Paragraphedeliste"/>
        <w:numPr>
          <w:ilvl w:val="0"/>
          <w:numId w:val="6"/>
        </w:numPr>
        <w:jc w:val="both"/>
      </w:pPr>
      <w:r>
        <w:t>Estimation fiable</w:t>
      </w:r>
    </w:p>
    <w:p w14:paraId="478A8BBC" w14:textId="77777777" w:rsidR="009B12CC" w:rsidRDefault="009B12CC" w:rsidP="009B12CC">
      <w:pPr>
        <w:jc w:val="both"/>
      </w:pPr>
      <w:r>
        <w:t>Le PCG précise que dans les cas exceptionnels ou aucune estimation fiable ne peut être réalisée. La provision ne peut être constituée. Il faut cependant en faire mention en annexe.</w:t>
      </w:r>
    </w:p>
    <w:p w14:paraId="291F9672" w14:textId="77777777" w:rsidR="009B12CC" w:rsidRDefault="009B12CC" w:rsidP="009B12CC">
      <w:pPr>
        <w:jc w:val="both"/>
      </w:pPr>
    </w:p>
    <w:p w14:paraId="3BDB6383" w14:textId="77777777" w:rsidR="009B12CC" w:rsidRDefault="009B12CC" w:rsidP="009B12CC">
      <w:pPr>
        <w:jc w:val="both"/>
      </w:pPr>
      <w:r>
        <w:t>S’il existe plusieurs estimations, le montant de la provision doit correspondre à l’estimation la plus probable.</w:t>
      </w:r>
    </w:p>
    <w:p w14:paraId="6A857918" w14:textId="77777777" w:rsidR="009B12CC" w:rsidRDefault="009B12CC" w:rsidP="009B12CC">
      <w:pPr>
        <w:jc w:val="both"/>
      </w:pPr>
      <w:r>
        <w:t>D’autre part, l’entreprise peut s’appuyer sur l’outil statistique afin de prévoir le montant de la provision (ex dans le cadre de provision pour garanties données aux clients)</w:t>
      </w:r>
    </w:p>
    <w:p w14:paraId="1D838C20" w14:textId="77777777" w:rsidR="009B12CC" w:rsidRDefault="009B12CC" w:rsidP="009B12CC">
      <w:r>
        <w:br w:type="page"/>
      </w:r>
    </w:p>
    <w:p w14:paraId="5AA36B82" w14:textId="77777777" w:rsidR="009B12CC" w:rsidRPr="00823CFB" w:rsidRDefault="009B12CC" w:rsidP="009B12CC">
      <w:pPr>
        <w:pStyle w:val="Paragraphedeliste"/>
        <w:numPr>
          <w:ilvl w:val="0"/>
          <w:numId w:val="2"/>
        </w:numPr>
        <w:jc w:val="both"/>
        <w:rPr>
          <w:rFonts w:ascii="Avenir Next" w:hAnsi="Avenir Next"/>
          <w:sz w:val="28"/>
          <w:szCs w:val="28"/>
        </w:rPr>
      </w:pPr>
      <w:r w:rsidRPr="00823CFB">
        <w:rPr>
          <w:rFonts w:ascii="Avenir Next" w:hAnsi="Avenir Next"/>
          <w:sz w:val="28"/>
          <w:szCs w:val="28"/>
        </w:rPr>
        <w:lastRenderedPageBreak/>
        <w:t>Cas particulier des provisions réglementées</w:t>
      </w:r>
    </w:p>
    <w:p w14:paraId="4A6049CB" w14:textId="77777777" w:rsidR="009B12CC" w:rsidRDefault="009B12CC" w:rsidP="009B12CC">
      <w:pPr>
        <w:jc w:val="both"/>
      </w:pPr>
      <w:r>
        <w:t>Les provisions réglementées ne répondent pas à la définition de provision telle qu’elle est prévue dans la normalisation comptable. En effet, elle ne vient prévenir aucun risque ni compenser aucune charge future.</w:t>
      </w:r>
    </w:p>
    <w:p w14:paraId="6AFBDC57" w14:textId="77777777" w:rsidR="009B12CC" w:rsidRDefault="009B12CC" w:rsidP="009B12CC">
      <w:pPr>
        <w:jc w:val="both"/>
      </w:pPr>
    </w:p>
    <w:p w14:paraId="5B40EF83" w14:textId="77777777" w:rsidR="009B12CC" w:rsidRDefault="009B12CC" w:rsidP="009B12CC">
      <w:pPr>
        <w:jc w:val="both"/>
      </w:pPr>
      <w:r>
        <w:t xml:space="preserve">Les provisions sont enregistrées en comptabilité </w:t>
      </w:r>
      <w:r w:rsidRPr="00823CFB">
        <w:rPr>
          <w:b/>
          <w:bCs/>
        </w:rPr>
        <w:t>par simple application d’une disposition fiscale.</w:t>
      </w:r>
      <w:r>
        <w:t xml:space="preserve"> Ainsi, lors de la constitution de la provision, l’entreprise enregistre une charge (dotation aux provisions) lui permettant de bénéficier d’économie d’IS. </w:t>
      </w:r>
    </w:p>
    <w:p w14:paraId="653162CF" w14:textId="77777777" w:rsidR="009B12CC" w:rsidRDefault="009B12CC" w:rsidP="009B12CC">
      <w:pPr>
        <w:jc w:val="both"/>
      </w:pPr>
      <w:r>
        <w:t>Cependant, cet avantage est temporaire. En effet, lors de la reprise de la provision, on enregistre comptablement un produit qui augmente le résultat fiscal et l’impôt sur les bénéfices.</w:t>
      </w:r>
    </w:p>
    <w:p w14:paraId="32A88075" w14:textId="77777777" w:rsidR="009B12CC" w:rsidRDefault="009B12CC" w:rsidP="009B12CC">
      <w:pPr>
        <w:jc w:val="both"/>
      </w:pPr>
    </w:p>
    <w:p w14:paraId="0554D981" w14:textId="77777777" w:rsidR="009B12CC" w:rsidRDefault="009B12CC" w:rsidP="009B12CC">
      <w:pPr>
        <w:jc w:val="both"/>
      </w:pPr>
      <w:r>
        <w:t>Les provisions réglementées ne sont pas soumises à l’obligation de respecter le principe de permanence des méthodes. En effet, la comptabilisation répond à une opportunité que la société peut choisir de saisir ou non.</w:t>
      </w:r>
    </w:p>
    <w:p w14:paraId="2328EAE7" w14:textId="77777777" w:rsidR="009B12CC" w:rsidRDefault="009B12CC" w:rsidP="009B12CC">
      <w:pPr>
        <w:jc w:val="both"/>
      </w:pPr>
    </w:p>
    <w:p w14:paraId="73C86CDE" w14:textId="77777777" w:rsidR="009B12CC" w:rsidRDefault="009B12CC" w:rsidP="009B12CC">
      <w:pPr>
        <w:jc w:val="both"/>
      </w:pPr>
      <w:r>
        <w:t>On distingue :</w:t>
      </w:r>
    </w:p>
    <w:p w14:paraId="6B056F64" w14:textId="77777777" w:rsidR="009B12CC" w:rsidRDefault="009B12CC" w:rsidP="009B12CC">
      <w:pPr>
        <w:pStyle w:val="Paragraphedeliste"/>
        <w:numPr>
          <w:ilvl w:val="0"/>
          <w:numId w:val="7"/>
        </w:numPr>
        <w:jc w:val="both"/>
      </w:pPr>
      <w:r>
        <w:t xml:space="preserve">Les provisions réglementées proprement dites : on trouvera la provision pour hausse des prix et la provision pour essaimage </w:t>
      </w:r>
    </w:p>
    <w:p w14:paraId="4A8F3B26" w14:textId="77777777" w:rsidR="009B12CC" w:rsidRPr="009172E0" w:rsidRDefault="009B12CC" w:rsidP="009B12CC">
      <w:pPr>
        <w:pStyle w:val="Paragraphedeliste"/>
        <w:numPr>
          <w:ilvl w:val="0"/>
          <w:numId w:val="7"/>
        </w:numPr>
        <w:jc w:val="both"/>
      </w:pPr>
      <w:r>
        <w:t xml:space="preserve">Les provisions réglementées assimilées : les amortissements dérogatoires </w:t>
      </w:r>
    </w:p>
    <w:p w14:paraId="73DD0954" w14:textId="77777777" w:rsidR="009B12CC" w:rsidRDefault="009B12CC" w:rsidP="009B12CC">
      <w:pPr>
        <w:jc w:val="both"/>
      </w:pPr>
    </w:p>
    <w:p w14:paraId="01BBC445" w14:textId="77777777" w:rsidR="009B12CC" w:rsidRDefault="009B12CC" w:rsidP="009B12CC">
      <w:pPr>
        <w:jc w:val="both"/>
      </w:pPr>
    </w:p>
    <w:p w14:paraId="1B653C26" w14:textId="77777777" w:rsidR="009B12CC" w:rsidRDefault="009B12CC" w:rsidP="009B12CC">
      <w:pPr>
        <w:jc w:val="both"/>
      </w:pPr>
    </w:p>
    <w:p w14:paraId="15C13050" w14:textId="77777777" w:rsidR="009B12CC" w:rsidRDefault="009B12CC" w:rsidP="009B12CC">
      <w:pPr>
        <w:jc w:val="both"/>
      </w:pPr>
    </w:p>
    <w:p w14:paraId="2F672183" w14:textId="77777777" w:rsidR="009B12CC" w:rsidRDefault="009B12CC" w:rsidP="009B12CC">
      <w:pPr>
        <w:jc w:val="both"/>
      </w:pPr>
    </w:p>
    <w:p w14:paraId="227D7E20" w14:textId="77777777" w:rsidR="009B12CC" w:rsidRDefault="009B12CC" w:rsidP="009B12CC">
      <w:pPr>
        <w:jc w:val="both"/>
      </w:pPr>
    </w:p>
    <w:p w14:paraId="435C5BCE" w14:textId="77777777" w:rsidR="009B12CC" w:rsidRDefault="009B12CC" w:rsidP="009B12CC">
      <w:pPr>
        <w:pStyle w:val="Paragraphedeliste"/>
        <w:numPr>
          <w:ilvl w:val="0"/>
          <w:numId w:val="1"/>
        </w:numPr>
        <w:jc w:val="both"/>
        <w:rPr>
          <w:rFonts w:ascii="Andale Mono" w:hAnsi="Andale Mono"/>
          <w:sz w:val="28"/>
          <w:szCs w:val="28"/>
        </w:rPr>
      </w:pPr>
      <w:r w:rsidRPr="009D08A3">
        <w:rPr>
          <w:rFonts w:ascii="Andale Mono" w:hAnsi="Andale Mono"/>
          <w:sz w:val="28"/>
          <w:szCs w:val="28"/>
        </w:rPr>
        <w:t>Comptabilisation des provisions</w:t>
      </w:r>
    </w:p>
    <w:p w14:paraId="493AC0EE" w14:textId="77777777" w:rsidR="009B12CC" w:rsidRPr="009D08A3" w:rsidRDefault="009B12CC" w:rsidP="009B12CC">
      <w:pPr>
        <w:pStyle w:val="Paragraphedeliste"/>
        <w:ind w:left="1080"/>
        <w:jc w:val="both"/>
        <w:rPr>
          <w:rFonts w:ascii="Andale Mono" w:hAnsi="Andale Mono"/>
          <w:sz w:val="28"/>
          <w:szCs w:val="28"/>
        </w:rPr>
      </w:pPr>
    </w:p>
    <w:p w14:paraId="6E085528" w14:textId="77777777" w:rsidR="009B12CC" w:rsidRDefault="009B12CC" w:rsidP="009B12CC">
      <w:pPr>
        <w:pStyle w:val="Paragraphedeliste"/>
        <w:numPr>
          <w:ilvl w:val="0"/>
          <w:numId w:val="8"/>
        </w:numPr>
        <w:jc w:val="both"/>
        <w:rPr>
          <w:rFonts w:ascii="Avenir Next" w:hAnsi="Avenir Next"/>
          <w:sz w:val="28"/>
          <w:szCs w:val="28"/>
        </w:rPr>
      </w:pPr>
      <w:r w:rsidRPr="009D08A3">
        <w:rPr>
          <w:rFonts w:ascii="Avenir Next" w:hAnsi="Avenir Next"/>
          <w:sz w:val="28"/>
          <w:szCs w:val="28"/>
        </w:rPr>
        <w:t>Classification des comptes de provision</w:t>
      </w:r>
    </w:p>
    <w:p w14:paraId="50B7D28C" w14:textId="77777777" w:rsidR="009B12CC" w:rsidRDefault="009B12CC" w:rsidP="009B12CC">
      <w:pPr>
        <w:jc w:val="both"/>
      </w:pPr>
      <w:r>
        <w:t xml:space="preserve">Les provisions sont enregistrées dans les comptes suivants : </w:t>
      </w:r>
    </w:p>
    <w:tbl>
      <w:tblPr>
        <w:tblStyle w:val="Grilledutableau"/>
        <w:tblW w:w="0" w:type="auto"/>
        <w:tblLook w:val="04A0" w:firstRow="1" w:lastRow="0" w:firstColumn="1" w:lastColumn="0" w:noHBand="0" w:noVBand="1"/>
      </w:tblPr>
      <w:tblGrid>
        <w:gridCol w:w="1416"/>
        <w:gridCol w:w="3820"/>
        <w:gridCol w:w="3820"/>
      </w:tblGrid>
      <w:tr w:rsidR="009B12CC" w14:paraId="6BAEDA70" w14:textId="77777777" w:rsidTr="00BC52E8">
        <w:tc>
          <w:tcPr>
            <w:tcW w:w="1416" w:type="dxa"/>
          </w:tcPr>
          <w:p w14:paraId="371517CE" w14:textId="77777777" w:rsidR="009B12CC" w:rsidRDefault="009B12CC" w:rsidP="00BC52E8">
            <w:pPr>
              <w:jc w:val="both"/>
            </w:pPr>
            <w:r>
              <w:t>1511</w:t>
            </w:r>
          </w:p>
        </w:tc>
        <w:tc>
          <w:tcPr>
            <w:tcW w:w="3820" w:type="dxa"/>
          </w:tcPr>
          <w:p w14:paraId="3F3F1699" w14:textId="159D6C7D"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litige</w:t>
            </w:r>
          </w:p>
        </w:tc>
        <w:tc>
          <w:tcPr>
            <w:tcW w:w="3820" w:type="dxa"/>
          </w:tcPr>
          <w:p w14:paraId="7252C079" w14:textId="77777777" w:rsidR="009B12CC" w:rsidRPr="009D08A3" w:rsidRDefault="009B12CC" w:rsidP="00BC52E8">
            <w:pPr>
              <w:jc w:val="both"/>
              <w:rPr>
                <w:sz w:val="32"/>
                <w:szCs w:val="32"/>
              </w:rPr>
            </w:pPr>
          </w:p>
        </w:tc>
      </w:tr>
      <w:tr w:rsidR="009B12CC" w14:paraId="5C49340E" w14:textId="77777777" w:rsidTr="00BC52E8">
        <w:tc>
          <w:tcPr>
            <w:tcW w:w="1416" w:type="dxa"/>
          </w:tcPr>
          <w:p w14:paraId="2DFEFDE3" w14:textId="77777777" w:rsidR="009B12CC" w:rsidRDefault="009B12CC" w:rsidP="00BC52E8">
            <w:pPr>
              <w:jc w:val="both"/>
            </w:pPr>
            <w:r>
              <w:t>1512</w:t>
            </w:r>
          </w:p>
        </w:tc>
        <w:tc>
          <w:tcPr>
            <w:tcW w:w="3820" w:type="dxa"/>
          </w:tcPr>
          <w:p w14:paraId="2A5EC967" w14:textId="5665B0C3" w:rsidR="009B12CC" w:rsidRPr="009D08A3" w:rsidRDefault="00F13036" w:rsidP="00BC52E8">
            <w:pPr>
              <w:jc w:val="both"/>
              <w:rPr>
                <w:sz w:val="32"/>
                <w:szCs w:val="32"/>
              </w:rPr>
            </w:pPr>
            <w:r>
              <w:rPr>
                <w:sz w:val="32"/>
                <w:szCs w:val="32"/>
              </w:rPr>
              <w:t>Provision pour garanties client</w:t>
            </w:r>
          </w:p>
        </w:tc>
        <w:tc>
          <w:tcPr>
            <w:tcW w:w="3820" w:type="dxa"/>
          </w:tcPr>
          <w:p w14:paraId="11614964" w14:textId="77777777" w:rsidR="009B12CC" w:rsidRPr="009D08A3" w:rsidRDefault="009B12CC" w:rsidP="00BC52E8">
            <w:pPr>
              <w:jc w:val="both"/>
              <w:rPr>
                <w:sz w:val="32"/>
                <w:szCs w:val="32"/>
              </w:rPr>
            </w:pPr>
          </w:p>
        </w:tc>
      </w:tr>
      <w:tr w:rsidR="00F13036" w14:paraId="31903545" w14:textId="77777777" w:rsidTr="00BC52E8">
        <w:tc>
          <w:tcPr>
            <w:tcW w:w="1416" w:type="dxa"/>
          </w:tcPr>
          <w:p w14:paraId="34067FB2" w14:textId="45674612" w:rsidR="00F13036" w:rsidRDefault="00F13036" w:rsidP="00BC52E8">
            <w:pPr>
              <w:jc w:val="both"/>
            </w:pPr>
            <w:r>
              <w:t>1513</w:t>
            </w:r>
          </w:p>
        </w:tc>
        <w:tc>
          <w:tcPr>
            <w:tcW w:w="3820" w:type="dxa"/>
          </w:tcPr>
          <w:p w14:paraId="785D8EC0" w14:textId="2B03691D" w:rsidR="00F13036" w:rsidRDefault="00F13036" w:rsidP="00BC52E8">
            <w:pPr>
              <w:jc w:val="both"/>
              <w:rPr>
                <w:sz w:val="32"/>
                <w:szCs w:val="32"/>
              </w:rPr>
            </w:pPr>
            <w:r>
              <w:rPr>
                <w:sz w:val="32"/>
                <w:szCs w:val="32"/>
              </w:rPr>
              <w:t>Provision pour perte sur marché à terme</w:t>
            </w:r>
          </w:p>
        </w:tc>
        <w:tc>
          <w:tcPr>
            <w:tcW w:w="3820" w:type="dxa"/>
          </w:tcPr>
          <w:p w14:paraId="383A59B5" w14:textId="77777777" w:rsidR="00F13036" w:rsidRPr="009D08A3" w:rsidRDefault="00F13036" w:rsidP="00BC52E8">
            <w:pPr>
              <w:jc w:val="both"/>
              <w:rPr>
                <w:sz w:val="32"/>
                <w:szCs w:val="32"/>
              </w:rPr>
            </w:pPr>
          </w:p>
        </w:tc>
      </w:tr>
      <w:tr w:rsidR="009B12CC" w14:paraId="7AD1C321" w14:textId="77777777" w:rsidTr="00BC52E8">
        <w:tc>
          <w:tcPr>
            <w:tcW w:w="1416" w:type="dxa"/>
          </w:tcPr>
          <w:p w14:paraId="7F5ED5CC" w14:textId="77777777" w:rsidR="009B12CC" w:rsidRDefault="009B12CC" w:rsidP="00BC52E8">
            <w:pPr>
              <w:jc w:val="both"/>
            </w:pPr>
            <w:r>
              <w:t>1514</w:t>
            </w:r>
          </w:p>
        </w:tc>
        <w:tc>
          <w:tcPr>
            <w:tcW w:w="3820" w:type="dxa"/>
          </w:tcPr>
          <w:p w14:paraId="743CF5B5" w14:textId="085C4611"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amendes et pénalités</w:t>
            </w:r>
          </w:p>
        </w:tc>
        <w:tc>
          <w:tcPr>
            <w:tcW w:w="3820" w:type="dxa"/>
          </w:tcPr>
          <w:p w14:paraId="61AB11AB" w14:textId="77777777" w:rsidR="009B12CC" w:rsidRPr="009D08A3" w:rsidRDefault="009B12CC" w:rsidP="00BC52E8">
            <w:pPr>
              <w:jc w:val="both"/>
              <w:rPr>
                <w:sz w:val="32"/>
                <w:szCs w:val="32"/>
              </w:rPr>
            </w:pPr>
          </w:p>
        </w:tc>
      </w:tr>
      <w:tr w:rsidR="009B12CC" w14:paraId="4233BE0F" w14:textId="77777777" w:rsidTr="00BC52E8">
        <w:tc>
          <w:tcPr>
            <w:tcW w:w="1416" w:type="dxa"/>
          </w:tcPr>
          <w:p w14:paraId="5C37CC69" w14:textId="77777777" w:rsidR="009B12CC" w:rsidRDefault="009B12CC" w:rsidP="00BC52E8">
            <w:pPr>
              <w:jc w:val="both"/>
            </w:pPr>
            <w:r>
              <w:t>1515</w:t>
            </w:r>
          </w:p>
        </w:tc>
        <w:tc>
          <w:tcPr>
            <w:tcW w:w="3820" w:type="dxa"/>
          </w:tcPr>
          <w:p w14:paraId="63A9C90F" w14:textId="65745FED"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perte de change</w:t>
            </w:r>
          </w:p>
        </w:tc>
        <w:tc>
          <w:tcPr>
            <w:tcW w:w="3820" w:type="dxa"/>
          </w:tcPr>
          <w:p w14:paraId="03933A64" w14:textId="77777777" w:rsidR="009B12CC" w:rsidRPr="009D08A3" w:rsidRDefault="009B12CC" w:rsidP="00BC52E8">
            <w:pPr>
              <w:jc w:val="both"/>
              <w:rPr>
                <w:sz w:val="32"/>
                <w:szCs w:val="32"/>
              </w:rPr>
            </w:pPr>
          </w:p>
        </w:tc>
      </w:tr>
      <w:tr w:rsidR="009B12CC" w14:paraId="24E5596E" w14:textId="77777777" w:rsidTr="00BC52E8">
        <w:tc>
          <w:tcPr>
            <w:tcW w:w="1416" w:type="dxa"/>
          </w:tcPr>
          <w:p w14:paraId="560F13F9" w14:textId="77777777" w:rsidR="009B12CC" w:rsidRDefault="009B12CC" w:rsidP="00BC52E8">
            <w:pPr>
              <w:jc w:val="both"/>
            </w:pPr>
            <w:r>
              <w:t>1516</w:t>
            </w:r>
          </w:p>
        </w:tc>
        <w:tc>
          <w:tcPr>
            <w:tcW w:w="3820" w:type="dxa"/>
          </w:tcPr>
          <w:p w14:paraId="1B7E1F16" w14:textId="49278994"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pertes sur </w:t>
            </w:r>
            <w:proofErr w:type="spellStart"/>
            <w:r>
              <w:rPr>
                <w:sz w:val="32"/>
                <w:szCs w:val="32"/>
              </w:rPr>
              <w:t>contrar</w:t>
            </w:r>
            <w:proofErr w:type="spellEnd"/>
          </w:p>
        </w:tc>
        <w:tc>
          <w:tcPr>
            <w:tcW w:w="3820" w:type="dxa"/>
          </w:tcPr>
          <w:p w14:paraId="507B4A7C" w14:textId="01C8865F" w:rsidR="009B12CC" w:rsidRPr="009D08A3" w:rsidRDefault="00F13036" w:rsidP="00BC52E8">
            <w:pPr>
              <w:jc w:val="both"/>
              <w:rPr>
                <w:sz w:val="32"/>
                <w:szCs w:val="32"/>
              </w:rPr>
            </w:pPr>
            <w:r>
              <w:rPr>
                <w:sz w:val="32"/>
                <w:szCs w:val="32"/>
              </w:rPr>
              <w:t>Contrat à long terme déficitaire</w:t>
            </w:r>
          </w:p>
        </w:tc>
      </w:tr>
      <w:tr w:rsidR="009B12CC" w14:paraId="4C96953D" w14:textId="77777777" w:rsidTr="00BC52E8">
        <w:tc>
          <w:tcPr>
            <w:tcW w:w="1416" w:type="dxa"/>
          </w:tcPr>
          <w:p w14:paraId="0DA49766" w14:textId="77777777" w:rsidR="009B12CC" w:rsidRDefault="009B12CC" w:rsidP="00BC52E8">
            <w:pPr>
              <w:jc w:val="both"/>
            </w:pPr>
            <w:r>
              <w:t>1518</w:t>
            </w:r>
          </w:p>
        </w:tc>
        <w:tc>
          <w:tcPr>
            <w:tcW w:w="3820" w:type="dxa"/>
          </w:tcPr>
          <w:p w14:paraId="7E50CDA3" w14:textId="1147775A" w:rsidR="009B12CC" w:rsidRPr="009D08A3" w:rsidRDefault="00F13036" w:rsidP="00BC52E8">
            <w:pPr>
              <w:jc w:val="both"/>
              <w:rPr>
                <w:sz w:val="32"/>
                <w:szCs w:val="32"/>
              </w:rPr>
            </w:pPr>
            <w:r>
              <w:rPr>
                <w:sz w:val="32"/>
                <w:szCs w:val="32"/>
              </w:rPr>
              <w:t xml:space="preserve">Autres </w:t>
            </w:r>
            <w:proofErr w:type="spellStart"/>
            <w:r>
              <w:rPr>
                <w:sz w:val="32"/>
                <w:szCs w:val="32"/>
              </w:rPr>
              <w:t>prov</w:t>
            </w:r>
            <w:proofErr w:type="spellEnd"/>
            <w:r>
              <w:rPr>
                <w:sz w:val="32"/>
                <w:szCs w:val="32"/>
              </w:rPr>
              <w:t xml:space="preserve"> pour risques</w:t>
            </w:r>
          </w:p>
        </w:tc>
        <w:tc>
          <w:tcPr>
            <w:tcW w:w="3820" w:type="dxa"/>
          </w:tcPr>
          <w:p w14:paraId="7CEDDF25" w14:textId="77777777" w:rsidR="009B12CC" w:rsidRPr="009D08A3" w:rsidRDefault="009B12CC" w:rsidP="00BC52E8">
            <w:pPr>
              <w:jc w:val="both"/>
              <w:rPr>
                <w:sz w:val="32"/>
                <w:szCs w:val="32"/>
              </w:rPr>
            </w:pPr>
          </w:p>
        </w:tc>
      </w:tr>
      <w:tr w:rsidR="009B12CC" w14:paraId="24597F15" w14:textId="77777777" w:rsidTr="00BC52E8">
        <w:tc>
          <w:tcPr>
            <w:tcW w:w="1416" w:type="dxa"/>
          </w:tcPr>
          <w:p w14:paraId="47E8164F" w14:textId="77777777" w:rsidR="009B12CC" w:rsidRDefault="009B12CC" w:rsidP="00BC52E8">
            <w:pPr>
              <w:jc w:val="both"/>
            </w:pPr>
            <w:r>
              <w:t>153</w:t>
            </w:r>
          </w:p>
        </w:tc>
        <w:tc>
          <w:tcPr>
            <w:tcW w:w="3820" w:type="dxa"/>
          </w:tcPr>
          <w:p w14:paraId="2DACA3AD" w14:textId="191C9BE2"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pensions</w:t>
            </w:r>
          </w:p>
        </w:tc>
        <w:tc>
          <w:tcPr>
            <w:tcW w:w="3820" w:type="dxa"/>
          </w:tcPr>
          <w:p w14:paraId="530FE88E" w14:textId="127EBCCC" w:rsidR="009B12CC" w:rsidRPr="009D08A3" w:rsidRDefault="00F13036" w:rsidP="00BC52E8">
            <w:pPr>
              <w:jc w:val="both"/>
              <w:rPr>
                <w:sz w:val="32"/>
                <w:szCs w:val="32"/>
              </w:rPr>
            </w:pPr>
            <w:r>
              <w:rPr>
                <w:sz w:val="32"/>
                <w:szCs w:val="32"/>
              </w:rPr>
              <w:t>Pour retraite</w:t>
            </w:r>
          </w:p>
        </w:tc>
      </w:tr>
      <w:tr w:rsidR="009B12CC" w14:paraId="5E715D53" w14:textId="77777777" w:rsidTr="00BC52E8">
        <w:tc>
          <w:tcPr>
            <w:tcW w:w="1416" w:type="dxa"/>
          </w:tcPr>
          <w:p w14:paraId="186D06E6" w14:textId="77777777" w:rsidR="009B12CC" w:rsidRDefault="009B12CC" w:rsidP="00BC52E8">
            <w:pPr>
              <w:jc w:val="both"/>
            </w:pPr>
            <w:r>
              <w:lastRenderedPageBreak/>
              <w:t>154</w:t>
            </w:r>
          </w:p>
        </w:tc>
        <w:tc>
          <w:tcPr>
            <w:tcW w:w="3820" w:type="dxa"/>
          </w:tcPr>
          <w:p w14:paraId="29AE56DC" w14:textId="6B2DE07C"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restructurations</w:t>
            </w:r>
          </w:p>
        </w:tc>
        <w:tc>
          <w:tcPr>
            <w:tcW w:w="3820" w:type="dxa"/>
          </w:tcPr>
          <w:p w14:paraId="2046FD55" w14:textId="77777777" w:rsidR="009B12CC" w:rsidRPr="009D08A3" w:rsidRDefault="009B12CC" w:rsidP="00BC52E8">
            <w:pPr>
              <w:jc w:val="both"/>
              <w:rPr>
                <w:sz w:val="32"/>
                <w:szCs w:val="32"/>
              </w:rPr>
            </w:pPr>
          </w:p>
        </w:tc>
      </w:tr>
      <w:tr w:rsidR="009B12CC" w14:paraId="15FE75A0" w14:textId="77777777" w:rsidTr="00BC52E8">
        <w:tc>
          <w:tcPr>
            <w:tcW w:w="1416" w:type="dxa"/>
          </w:tcPr>
          <w:p w14:paraId="3E1622E0" w14:textId="77777777" w:rsidR="009B12CC" w:rsidRDefault="009B12CC" w:rsidP="00BC52E8">
            <w:pPr>
              <w:jc w:val="both"/>
            </w:pPr>
            <w:r>
              <w:t>155</w:t>
            </w:r>
          </w:p>
        </w:tc>
        <w:tc>
          <w:tcPr>
            <w:tcW w:w="3820" w:type="dxa"/>
          </w:tcPr>
          <w:p w14:paraId="7244D087" w14:textId="4669B647"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w:t>
            </w:r>
            <w:proofErr w:type="spellStart"/>
            <w:r>
              <w:rPr>
                <w:sz w:val="32"/>
                <w:szCs w:val="32"/>
              </w:rPr>
              <w:t>impots</w:t>
            </w:r>
            <w:proofErr w:type="spellEnd"/>
          </w:p>
        </w:tc>
        <w:tc>
          <w:tcPr>
            <w:tcW w:w="3820" w:type="dxa"/>
          </w:tcPr>
          <w:p w14:paraId="5500AD20" w14:textId="77777777" w:rsidR="009B12CC" w:rsidRPr="009D08A3" w:rsidRDefault="009B12CC" w:rsidP="00BC52E8">
            <w:pPr>
              <w:jc w:val="both"/>
              <w:rPr>
                <w:sz w:val="32"/>
                <w:szCs w:val="32"/>
              </w:rPr>
            </w:pPr>
          </w:p>
        </w:tc>
      </w:tr>
      <w:tr w:rsidR="009B12CC" w14:paraId="1E382950" w14:textId="77777777" w:rsidTr="00BC52E8">
        <w:tc>
          <w:tcPr>
            <w:tcW w:w="1416" w:type="dxa"/>
          </w:tcPr>
          <w:p w14:paraId="5DF33C29" w14:textId="77777777" w:rsidR="009B12CC" w:rsidRDefault="009B12CC" w:rsidP="00BC52E8">
            <w:pPr>
              <w:jc w:val="both"/>
            </w:pPr>
            <w:r>
              <w:t>1572</w:t>
            </w:r>
          </w:p>
        </w:tc>
        <w:tc>
          <w:tcPr>
            <w:tcW w:w="3820" w:type="dxa"/>
          </w:tcPr>
          <w:p w14:paraId="5757E435" w14:textId="0E9042E4"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entretien</w:t>
            </w:r>
          </w:p>
        </w:tc>
        <w:tc>
          <w:tcPr>
            <w:tcW w:w="3820" w:type="dxa"/>
          </w:tcPr>
          <w:p w14:paraId="61DAB3FF" w14:textId="77777777" w:rsidR="009B12CC" w:rsidRPr="009D08A3" w:rsidRDefault="009B12CC" w:rsidP="00BC52E8">
            <w:pPr>
              <w:jc w:val="both"/>
              <w:rPr>
                <w:sz w:val="32"/>
                <w:szCs w:val="32"/>
              </w:rPr>
            </w:pPr>
          </w:p>
        </w:tc>
      </w:tr>
      <w:tr w:rsidR="009B12CC" w14:paraId="235CA8FE" w14:textId="77777777" w:rsidTr="00BC52E8">
        <w:tc>
          <w:tcPr>
            <w:tcW w:w="1416" w:type="dxa"/>
          </w:tcPr>
          <w:p w14:paraId="6B959636" w14:textId="77777777" w:rsidR="009B12CC" w:rsidRDefault="009B12CC" w:rsidP="00BC52E8">
            <w:pPr>
              <w:jc w:val="both"/>
            </w:pPr>
            <w:r>
              <w:t>1581</w:t>
            </w:r>
          </w:p>
        </w:tc>
        <w:tc>
          <w:tcPr>
            <w:tcW w:w="3820" w:type="dxa"/>
          </w:tcPr>
          <w:p w14:paraId="64B07FA4" w14:textId="6C299076" w:rsidR="009B12CC" w:rsidRPr="009D08A3" w:rsidRDefault="00F13036" w:rsidP="00BC52E8">
            <w:pPr>
              <w:jc w:val="both"/>
              <w:rPr>
                <w:sz w:val="32"/>
                <w:szCs w:val="32"/>
              </w:rPr>
            </w:pPr>
            <w:proofErr w:type="spellStart"/>
            <w:r>
              <w:rPr>
                <w:sz w:val="32"/>
                <w:szCs w:val="32"/>
              </w:rPr>
              <w:t>Prov</w:t>
            </w:r>
            <w:proofErr w:type="spellEnd"/>
            <w:r>
              <w:rPr>
                <w:sz w:val="32"/>
                <w:szCs w:val="32"/>
              </w:rPr>
              <w:t xml:space="preserve"> pour remise en </w:t>
            </w:r>
            <w:proofErr w:type="spellStart"/>
            <w:r>
              <w:rPr>
                <w:sz w:val="32"/>
                <w:szCs w:val="32"/>
              </w:rPr>
              <w:t>etat</w:t>
            </w:r>
            <w:proofErr w:type="spellEnd"/>
          </w:p>
        </w:tc>
        <w:tc>
          <w:tcPr>
            <w:tcW w:w="3820" w:type="dxa"/>
          </w:tcPr>
          <w:p w14:paraId="621D9151" w14:textId="1AB3E1AD" w:rsidR="009B12CC" w:rsidRPr="009D08A3" w:rsidRDefault="00F13036" w:rsidP="00BC52E8">
            <w:pPr>
              <w:jc w:val="both"/>
              <w:rPr>
                <w:sz w:val="32"/>
                <w:szCs w:val="32"/>
              </w:rPr>
            </w:pPr>
            <w:r>
              <w:rPr>
                <w:sz w:val="32"/>
                <w:szCs w:val="32"/>
              </w:rPr>
              <w:t>Frais de démantèlement</w:t>
            </w:r>
          </w:p>
        </w:tc>
      </w:tr>
    </w:tbl>
    <w:p w14:paraId="34CBE693" w14:textId="77777777" w:rsidR="009B12CC" w:rsidRPr="009D08A3" w:rsidRDefault="009B12CC" w:rsidP="009B12CC">
      <w:pPr>
        <w:jc w:val="both"/>
      </w:pPr>
    </w:p>
    <w:p w14:paraId="0D596820" w14:textId="77777777" w:rsidR="009B12CC" w:rsidRPr="009D08A3" w:rsidRDefault="009B12CC" w:rsidP="009B12CC">
      <w:pPr>
        <w:pStyle w:val="Paragraphedeliste"/>
        <w:numPr>
          <w:ilvl w:val="0"/>
          <w:numId w:val="8"/>
        </w:numPr>
        <w:jc w:val="both"/>
        <w:rPr>
          <w:rFonts w:ascii="Avenir Next" w:hAnsi="Avenir Next"/>
          <w:sz w:val="28"/>
          <w:szCs w:val="28"/>
        </w:rPr>
      </w:pPr>
      <w:r w:rsidRPr="009D08A3">
        <w:rPr>
          <w:rFonts w:ascii="Avenir Next" w:hAnsi="Avenir Next"/>
          <w:sz w:val="28"/>
          <w:szCs w:val="28"/>
        </w:rPr>
        <w:t>Traitement comptable</w:t>
      </w:r>
    </w:p>
    <w:p w14:paraId="39FC5B7B" w14:textId="77777777" w:rsidR="009B12CC" w:rsidRDefault="009B12CC" w:rsidP="009B12CC">
      <w:pPr>
        <w:pStyle w:val="Paragraphedeliste"/>
        <w:numPr>
          <w:ilvl w:val="0"/>
          <w:numId w:val="9"/>
        </w:numPr>
        <w:jc w:val="both"/>
      </w:pPr>
      <w:r>
        <w:t>A la survenue du risque</w:t>
      </w:r>
    </w:p>
    <w:p w14:paraId="214E5EF1" w14:textId="77777777" w:rsidR="009B12CC" w:rsidRDefault="009B12CC" w:rsidP="009B12CC">
      <w:pPr>
        <w:jc w:val="both"/>
      </w:pPr>
      <w:r>
        <w:t>On enregistre une dotation</w:t>
      </w:r>
    </w:p>
    <w:p w14:paraId="569D148C" w14:textId="77777777" w:rsidR="009B12CC" w:rsidRDefault="009B12CC" w:rsidP="009B12CC">
      <w:pPr>
        <w:pStyle w:val="Paragraphedeliste"/>
        <w:numPr>
          <w:ilvl w:val="0"/>
          <w:numId w:val="3"/>
        </w:numPr>
        <w:jc w:val="both"/>
      </w:pPr>
      <w:r>
        <w:t>Par le débit d’un compte 68</w:t>
      </w:r>
    </w:p>
    <w:p w14:paraId="632A2642" w14:textId="77777777" w:rsidR="009B12CC" w:rsidRDefault="009B12CC" w:rsidP="009B12CC">
      <w:pPr>
        <w:jc w:val="both"/>
      </w:pPr>
      <w:r>
        <w:t>681 : s’il s’agit d’une dotation d’exploitation (ex garanties donnée au client)</w:t>
      </w:r>
    </w:p>
    <w:p w14:paraId="630AA54A" w14:textId="77777777" w:rsidR="009B12CC" w:rsidRDefault="009B12CC" w:rsidP="009B12CC">
      <w:pPr>
        <w:jc w:val="both"/>
      </w:pPr>
      <w:r>
        <w:t>686 : s’il s’agit d’une dotation financière (ex : les provisions pour risque de change)</w:t>
      </w:r>
    </w:p>
    <w:p w14:paraId="2A73F6A1" w14:textId="77777777" w:rsidR="009B12CC" w:rsidRPr="009D08A3" w:rsidRDefault="009B12CC" w:rsidP="009B12CC">
      <w:pPr>
        <w:jc w:val="both"/>
      </w:pPr>
      <w:r>
        <w:t>687 : s’il s’agit d’une dotation exceptionnelle (ex : provision pour amendes et pénalités)</w:t>
      </w:r>
    </w:p>
    <w:p w14:paraId="3DC943CC" w14:textId="77777777" w:rsidR="009B12CC" w:rsidRPr="009D08A3" w:rsidRDefault="009B12CC" w:rsidP="009B12CC">
      <w:pPr>
        <w:pStyle w:val="Paragraphedeliste"/>
        <w:numPr>
          <w:ilvl w:val="0"/>
          <w:numId w:val="3"/>
        </w:numPr>
        <w:jc w:val="both"/>
      </w:pPr>
      <w:r>
        <w:t>Par le crédit d’un compte 15XX</w:t>
      </w:r>
    </w:p>
    <w:p w14:paraId="6D3AC39F"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9B12CC" w14:paraId="313281DE" w14:textId="77777777" w:rsidTr="00BC52E8">
        <w:tc>
          <w:tcPr>
            <w:tcW w:w="1590" w:type="dxa"/>
          </w:tcPr>
          <w:p w14:paraId="026F94CA" w14:textId="77777777" w:rsidR="009B12CC" w:rsidRDefault="009B12CC" w:rsidP="00BC52E8">
            <w:pPr>
              <w:tabs>
                <w:tab w:val="left" w:pos="2016"/>
              </w:tabs>
              <w:jc w:val="both"/>
            </w:pPr>
          </w:p>
          <w:p w14:paraId="0DABBDC3" w14:textId="2DE11247" w:rsidR="009B12CC" w:rsidRDefault="00F13036" w:rsidP="00BC52E8">
            <w:pPr>
              <w:tabs>
                <w:tab w:val="left" w:pos="2016"/>
              </w:tabs>
              <w:jc w:val="both"/>
            </w:pPr>
            <w:r>
              <w:t>68X</w:t>
            </w:r>
          </w:p>
          <w:p w14:paraId="2E86EED5" w14:textId="5BA13EA6" w:rsidR="00F13036" w:rsidRDefault="00F13036" w:rsidP="00BC52E8">
            <w:pPr>
              <w:tabs>
                <w:tab w:val="left" w:pos="2016"/>
              </w:tabs>
              <w:jc w:val="both"/>
            </w:pPr>
            <w:r>
              <w:t>15X</w:t>
            </w:r>
          </w:p>
          <w:p w14:paraId="109B940C" w14:textId="77777777" w:rsidR="009B12CC" w:rsidRDefault="009B12CC" w:rsidP="00BC52E8">
            <w:pPr>
              <w:tabs>
                <w:tab w:val="left" w:pos="2016"/>
              </w:tabs>
              <w:jc w:val="both"/>
            </w:pPr>
          </w:p>
          <w:p w14:paraId="3B8B4F4D" w14:textId="77777777" w:rsidR="009B12CC" w:rsidRDefault="009B12CC" w:rsidP="00BC52E8">
            <w:pPr>
              <w:tabs>
                <w:tab w:val="left" w:pos="2016"/>
              </w:tabs>
              <w:jc w:val="both"/>
            </w:pPr>
          </w:p>
        </w:tc>
        <w:tc>
          <w:tcPr>
            <w:tcW w:w="4820" w:type="dxa"/>
          </w:tcPr>
          <w:p w14:paraId="6A6E06A0" w14:textId="77777777" w:rsidR="009B12CC" w:rsidRDefault="009B12CC" w:rsidP="00BC52E8">
            <w:pPr>
              <w:jc w:val="both"/>
            </w:pPr>
          </w:p>
        </w:tc>
        <w:tc>
          <w:tcPr>
            <w:tcW w:w="1843" w:type="dxa"/>
          </w:tcPr>
          <w:p w14:paraId="1A01172C" w14:textId="77777777" w:rsidR="009B12CC" w:rsidRDefault="009B12CC" w:rsidP="00BC52E8">
            <w:pPr>
              <w:jc w:val="both"/>
            </w:pPr>
          </w:p>
        </w:tc>
        <w:tc>
          <w:tcPr>
            <w:tcW w:w="1843" w:type="dxa"/>
          </w:tcPr>
          <w:p w14:paraId="36E2ADCE" w14:textId="77777777" w:rsidR="009B12CC" w:rsidRDefault="009B12CC" w:rsidP="00BC52E8">
            <w:pPr>
              <w:jc w:val="both"/>
            </w:pPr>
          </w:p>
        </w:tc>
      </w:tr>
    </w:tbl>
    <w:p w14:paraId="79ACE6CE" w14:textId="77777777" w:rsidR="009B12CC" w:rsidRDefault="009B12CC" w:rsidP="009B12CC">
      <w:pPr>
        <w:jc w:val="both"/>
      </w:pPr>
    </w:p>
    <w:p w14:paraId="791F5FC6" w14:textId="77777777" w:rsidR="009B12CC" w:rsidRDefault="009B12CC" w:rsidP="009B12CC">
      <w:pPr>
        <w:pStyle w:val="Paragraphedeliste"/>
        <w:numPr>
          <w:ilvl w:val="0"/>
          <w:numId w:val="9"/>
        </w:numPr>
        <w:jc w:val="both"/>
      </w:pPr>
      <w:r>
        <w:t>Sur les exercices ultérieurs : ajustement de la provision</w:t>
      </w:r>
    </w:p>
    <w:p w14:paraId="43AA2158" w14:textId="77777777" w:rsidR="009B12CC" w:rsidRDefault="009B12CC" w:rsidP="009B12CC">
      <w:pPr>
        <w:jc w:val="both"/>
      </w:pPr>
      <w:r>
        <w:t>Le risque est réévalué à chaque fin d’exercice.</w:t>
      </w:r>
    </w:p>
    <w:p w14:paraId="70CE14E4" w14:textId="77777777" w:rsidR="009B12CC" w:rsidRDefault="009B12CC" w:rsidP="009B12CC">
      <w:pPr>
        <w:jc w:val="both"/>
      </w:pPr>
      <w:r>
        <w:t xml:space="preserve">Ajustement = </w:t>
      </w:r>
      <w:proofErr w:type="spellStart"/>
      <w:r>
        <w:t>Prov</w:t>
      </w:r>
      <w:proofErr w:type="spellEnd"/>
      <w:r>
        <w:t xml:space="preserve"> nécessaire en N – </w:t>
      </w:r>
      <w:proofErr w:type="spellStart"/>
      <w:r>
        <w:t>Prov</w:t>
      </w:r>
      <w:proofErr w:type="spellEnd"/>
      <w:r>
        <w:t xml:space="preserve"> existante en N-1</w:t>
      </w:r>
    </w:p>
    <w:p w14:paraId="2D046C8F" w14:textId="77777777" w:rsidR="009B12CC" w:rsidRDefault="009B12CC" w:rsidP="009B12CC">
      <w:pPr>
        <w:jc w:val="both"/>
      </w:pPr>
      <w:r>
        <w:t xml:space="preserve">Si </w:t>
      </w:r>
      <w:proofErr w:type="spellStart"/>
      <w:r>
        <w:t>prov</w:t>
      </w:r>
      <w:proofErr w:type="spellEnd"/>
      <w:r>
        <w:t xml:space="preserve"> N &gt; </w:t>
      </w:r>
      <w:proofErr w:type="spellStart"/>
      <w:r>
        <w:t>prov</w:t>
      </w:r>
      <w:proofErr w:type="spellEnd"/>
      <w:r>
        <w:t xml:space="preserve"> N-1 =&gt; dotation</w:t>
      </w:r>
    </w:p>
    <w:p w14:paraId="1DC57C00" w14:textId="77777777" w:rsidR="009B12CC" w:rsidRDefault="009B12CC" w:rsidP="009B12CC">
      <w:pPr>
        <w:jc w:val="both"/>
      </w:pPr>
      <w:r>
        <w:t xml:space="preserve">Si </w:t>
      </w:r>
      <w:proofErr w:type="spellStart"/>
      <w:r>
        <w:t>prov</w:t>
      </w:r>
      <w:proofErr w:type="spellEnd"/>
      <w:r>
        <w:t xml:space="preserve"> N-1 &gt; </w:t>
      </w:r>
      <w:proofErr w:type="spellStart"/>
      <w:r>
        <w:t>prov</w:t>
      </w:r>
      <w:proofErr w:type="spellEnd"/>
      <w:r>
        <w:t xml:space="preserve"> N =&gt; reprise</w:t>
      </w:r>
    </w:p>
    <w:p w14:paraId="3C32BB81"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9B12CC" w14:paraId="6B14FE86" w14:textId="77777777" w:rsidTr="00BC52E8">
        <w:tc>
          <w:tcPr>
            <w:tcW w:w="1590" w:type="dxa"/>
          </w:tcPr>
          <w:p w14:paraId="015023DA" w14:textId="77777777" w:rsidR="009B12CC" w:rsidRDefault="009B12CC" w:rsidP="00BC52E8">
            <w:pPr>
              <w:tabs>
                <w:tab w:val="left" w:pos="2016"/>
              </w:tabs>
              <w:jc w:val="both"/>
            </w:pPr>
          </w:p>
          <w:p w14:paraId="7A7C0974" w14:textId="588BF3F0" w:rsidR="009B12CC" w:rsidRDefault="00F13036" w:rsidP="00BC52E8">
            <w:pPr>
              <w:tabs>
                <w:tab w:val="left" w:pos="2016"/>
              </w:tabs>
              <w:jc w:val="both"/>
            </w:pPr>
            <w:r>
              <w:t>68</w:t>
            </w:r>
          </w:p>
          <w:p w14:paraId="0C1A3627" w14:textId="54D9DD6A" w:rsidR="00F13036" w:rsidRDefault="00F13036" w:rsidP="00BC52E8">
            <w:pPr>
              <w:tabs>
                <w:tab w:val="left" w:pos="2016"/>
              </w:tabs>
              <w:jc w:val="both"/>
            </w:pPr>
            <w:r>
              <w:t>15</w:t>
            </w:r>
          </w:p>
          <w:p w14:paraId="0383AE3E" w14:textId="77777777" w:rsidR="009B12CC" w:rsidRDefault="009B12CC" w:rsidP="00BC52E8">
            <w:pPr>
              <w:tabs>
                <w:tab w:val="left" w:pos="2016"/>
              </w:tabs>
              <w:jc w:val="both"/>
            </w:pPr>
          </w:p>
          <w:p w14:paraId="6DC02C5B" w14:textId="77777777" w:rsidR="009B12CC" w:rsidRDefault="009B12CC" w:rsidP="00BC52E8">
            <w:pPr>
              <w:tabs>
                <w:tab w:val="left" w:pos="2016"/>
              </w:tabs>
              <w:jc w:val="both"/>
            </w:pPr>
          </w:p>
        </w:tc>
        <w:tc>
          <w:tcPr>
            <w:tcW w:w="4820" w:type="dxa"/>
          </w:tcPr>
          <w:p w14:paraId="007282DE" w14:textId="77777777" w:rsidR="009B12CC" w:rsidRDefault="009B12CC" w:rsidP="00BC52E8">
            <w:pPr>
              <w:jc w:val="both"/>
            </w:pPr>
          </w:p>
        </w:tc>
        <w:tc>
          <w:tcPr>
            <w:tcW w:w="1843" w:type="dxa"/>
          </w:tcPr>
          <w:p w14:paraId="44133007" w14:textId="77777777" w:rsidR="009B12CC" w:rsidRDefault="009B12CC" w:rsidP="00BC52E8">
            <w:pPr>
              <w:jc w:val="both"/>
            </w:pPr>
          </w:p>
        </w:tc>
        <w:tc>
          <w:tcPr>
            <w:tcW w:w="1843" w:type="dxa"/>
          </w:tcPr>
          <w:p w14:paraId="2F264AEC" w14:textId="77777777" w:rsidR="009B12CC" w:rsidRDefault="009B12CC" w:rsidP="00BC52E8">
            <w:pPr>
              <w:jc w:val="both"/>
            </w:pPr>
          </w:p>
        </w:tc>
      </w:tr>
      <w:tr w:rsidR="009B12CC" w14:paraId="65139503" w14:textId="77777777" w:rsidTr="00BC52E8">
        <w:tc>
          <w:tcPr>
            <w:tcW w:w="1590" w:type="dxa"/>
          </w:tcPr>
          <w:p w14:paraId="1F753CC3" w14:textId="77777777" w:rsidR="009B12CC" w:rsidRDefault="009B12CC" w:rsidP="00BC52E8">
            <w:pPr>
              <w:tabs>
                <w:tab w:val="left" w:pos="2016"/>
              </w:tabs>
              <w:jc w:val="both"/>
            </w:pPr>
          </w:p>
          <w:p w14:paraId="6FA8D5D6" w14:textId="078067E1" w:rsidR="009B12CC" w:rsidRDefault="00F13036" w:rsidP="00BC52E8">
            <w:pPr>
              <w:tabs>
                <w:tab w:val="left" w:pos="2016"/>
              </w:tabs>
              <w:jc w:val="both"/>
            </w:pPr>
            <w:r>
              <w:t>15</w:t>
            </w:r>
          </w:p>
          <w:p w14:paraId="641DCF05" w14:textId="0409A38F" w:rsidR="00F13036" w:rsidRDefault="00F13036" w:rsidP="00BC52E8">
            <w:pPr>
              <w:tabs>
                <w:tab w:val="left" w:pos="2016"/>
              </w:tabs>
              <w:jc w:val="both"/>
            </w:pPr>
            <w:r>
              <w:t>78</w:t>
            </w:r>
          </w:p>
          <w:p w14:paraId="3B205A25" w14:textId="77777777" w:rsidR="009B12CC" w:rsidRDefault="009B12CC" w:rsidP="00BC52E8">
            <w:pPr>
              <w:tabs>
                <w:tab w:val="left" w:pos="2016"/>
              </w:tabs>
              <w:jc w:val="both"/>
            </w:pPr>
          </w:p>
          <w:p w14:paraId="632F0A64" w14:textId="77777777" w:rsidR="009B12CC" w:rsidRDefault="009B12CC" w:rsidP="00BC52E8">
            <w:pPr>
              <w:tabs>
                <w:tab w:val="left" w:pos="2016"/>
              </w:tabs>
              <w:jc w:val="both"/>
            </w:pPr>
          </w:p>
        </w:tc>
        <w:tc>
          <w:tcPr>
            <w:tcW w:w="4820" w:type="dxa"/>
          </w:tcPr>
          <w:p w14:paraId="1EAE8D13" w14:textId="77777777" w:rsidR="009B12CC" w:rsidRDefault="009B12CC" w:rsidP="00BC52E8">
            <w:pPr>
              <w:jc w:val="both"/>
            </w:pPr>
          </w:p>
        </w:tc>
        <w:tc>
          <w:tcPr>
            <w:tcW w:w="1843" w:type="dxa"/>
          </w:tcPr>
          <w:p w14:paraId="2966D736" w14:textId="77777777" w:rsidR="009B12CC" w:rsidRDefault="009B12CC" w:rsidP="00BC52E8">
            <w:pPr>
              <w:jc w:val="both"/>
            </w:pPr>
          </w:p>
        </w:tc>
        <w:tc>
          <w:tcPr>
            <w:tcW w:w="1843" w:type="dxa"/>
          </w:tcPr>
          <w:p w14:paraId="695B0D21" w14:textId="77777777" w:rsidR="009B12CC" w:rsidRDefault="009B12CC" w:rsidP="00BC52E8">
            <w:pPr>
              <w:jc w:val="both"/>
            </w:pPr>
          </w:p>
        </w:tc>
      </w:tr>
    </w:tbl>
    <w:p w14:paraId="64CDB3B5" w14:textId="77777777" w:rsidR="009B12CC" w:rsidRDefault="009B12CC" w:rsidP="009B12CC">
      <w:pPr>
        <w:jc w:val="both"/>
      </w:pPr>
    </w:p>
    <w:p w14:paraId="42741F8A" w14:textId="77777777" w:rsidR="009B12CC" w:rsidRDefault="009B12CC" w:rsidP="009B12CC">
      <w:pPr>
        <w:pStyle w:val="Paragraphedeliste"/>
        <w:numPr>
          <w:ilvl w:val="0"/>
          <w:numId w:val="9"/>
        </w:numPr>
        <w:jc w:val="both"/>
      </w:pPr>
      <w:r>
        <w:t>A l’extinction de l’obligation</w:t>
      </w:r>
    </w:p>
    <w:p w14:paraId="7BEAC37A" w14:textId="77777777" w:rsidR="009B12CC" w:rsidRDefault="009B12CC" w:rsidP="009B12CC">
      <w:pPr>
        <w:jc w:val="both"/>
      </w:pPr>
      <w:r>
        <w:t>La provision existante doit être reprise</w:t>
      </w:r>
    </w:p>
    <w:p w14:paraId="785A110F"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F13036" w14:paraId="6899E39E" w14:textId="77777777" w:rsidTr="00BC52E8">
        <w:tc>
          <w:tcPr>
            <w:tcW w:w="1590" w:type="dxa"/>
          </w:tcPr>
          <w:p w14:paraId="5DA07314" w14:textId="77777777" w:rsidR="00F13036" w:rsidRDefault="00F13036" w:rsidP="00BC52E8">
            <w:pPr>
              <w:tabs>
                <w:tab w:val="left" w:pos="2016"/>
              </w:tabs>
              <w:jc w:val="both"/>
            </w:pPr>
          </w:p>
          <w:p w14:paraId="6F6BB2D6" w14:textId="77777777" w:rsidR="00F13036" w:rsidRDefault="00F13036" w:rsidP="00BC52E8">
            <w:pPr>
              <w:tabs>
                <w:tab w:val="left" w:pos="2016"/>
              </w:tabs>
              <w:jc w:val="both"/>
            </w:pPr>
            <w:r>
              <w:t>15</w:t>
            </w:r>
          </w:p>
          <w:p w14:paraId="11B89D27" w14:textId="77777777" w:rsidR="00F13036" w:rsidRDefault="00F13036" w:rsidP="00BC52E8">
            <w:pPr>
              <w:tabs>
                <w:tab w:val="left" w:pos="2016"/>
              </w:tabs>
              <w:jc w:val="both"/>
            </w:pPr>
            <w:r>
              <w:t>78</w:t>
            </w:r>
          </w:p>
          <w:p w14:paraId="0B23C6D3" w14:textId="77777777" w:rsidR="00F13036" w:rsidRDefault="00F13036" w:rsidP="00BC52E8">
            <w:pPr>
              <w:tabs>
                <w:tab w:val="left" w:pos="2016"/>
              </w:tabs>
              <w:jc w:val="both"/>
            </w:pPr>
          </w:p>
        </w:tc>
        <w:tc>
          <w:tcPr>
            <w:tcW w:w="4820" w:type="dxa"/>
          </w:tcPr>
          <w:p w14:paraId="768F3423" w14:textId="77777777" w:rsidR="00F13036" w:rsidRDefault="00F13036" w:rsidP="00BC52E8">
            <w:pPr>
              <w:jc w:val="both"/>
            </w:pPr>
          </w:p>
        </w:tc>
        <w:tc>
          <w:tcPr>
            <w:tcW w:w="1843" w:type="dxa"/>
          </w:tcPr>
          <w:p w14:paraId="6ED0185A" w14:textId="77777777" w:rsidR="00F13036" w:rsidRDefault="00F13036" w:rsidP="00BC52E8">
            <w:pPr>
              <w:jc w:val="both"/>
            </w:pPr>
          </w:p>
        </w:tc>
        <w:tc>
          <w:tcPr>
            <w:tcW w:w="1843" w:type="dxa"/>
          </w:tcPr>
          <w:p w14:paraId="4043156E" w14:textId="77777777" w:rsidR="00F13036" w:rsidRDefault="00F13036" w:rsidP="00BC52E8">
            <w:pPr>
              <w:jc w:val="both"/>
            </w:pPr>
          </w:p>
        </w:tc>
      </w:tr>
    </w:tbl>
    <w:p w14:paraId="324D6276" w14:textId="77777777" w:rsidR="009B12CC" w:rsidRDefault="009B12CC" w:rsidP="009B12CC">
      <w:pPr>
        <w:jc w:val="both"/>
      </w:pPr>
    </w:p>
    <w:p w14:paraId="5DC72600" w14:textId="77777777" w:rsidR="009B12CC" w:rsidRDefault="009B12CC" w:rsidP="009B12CC">
      <w:pPr>
        <w:jc w:val="both"/>
      </w:pPr>
    </w:p>
    <w:p w14:paraId="3C09C5BC" w14:textId="77777777" w:rsidR="009B12CC" w:rsidRDefault="009B12CC" w:rsidP="009B12CC">
      <w:pPr>
        <w:jc w:val="both"/>
      </w:pPr>
    </w:p>
    <w:p w14:paraId="5DF3A12D" w14:textId="77777777" w:rsidR="009B12CC" w:rsidRDefault="009B12CC" w:rsidP="009B12CC">
      <w:pPr>
        <w:jc w:val="both"/>
      </w:pPr>
    </w:p>
    <w:p w14:paraId="667B1A0E" w14:textId="77777777" w:rsidR="009B12CC" w:rsidRDefault="009B12CC" w:rsidP="009B12CC">
      <w:pPr>
        <w:jc w:val="both"/>
      </w:pPr>
    </w:p>
    <w:p w14:paraId="1BA37BB5" w14:textId="77777777" w:rsidR="009B12CC" w:rsidRDefault="009B12CC" w:rsidP="009B12CC">
      <w:pPr>
        <w:jc w:val="both"/>
      </w:pPr>
      <w:r>
        <w:t>Remarque : le solde du compte de provision doit être ramené à 0</w:t>
      </w:r>
    </w:p>
    <w:p w14:paraId="69CD8274" w14:textId="77777777" w:rsidR="009B12CC" w:rsidRDefault="009B12CC" w:rsidP="009B12CC">
      <w:pPr>
        <w:jc w:val="both"/>
      </w:pPr>
      <w:r>
        <w:t>Le risque existant antérieurement n’a pas été transféré sur les exercices suivants.</w:t>
      </w:r>
    </w:p>
    <w:p w14:paraId="0C1282B9" w14:textId="77777777" w:rsidR="009B12CC" w:rsidRDefault="009B12CC" w:rsidP="009B12CC">
      <w:pPr>
        <w:jc w:val="both"/>
      </w:pPr>
    </w:p>
    <w:p w14:paraId="3D2D99DF" w14:textId="77777777" w:rsidR="009B12CC" w:rsidRDefault="009B12CC" w:rsidP="009B12CC">
      <w:pPr>
        <w:jc w:val="both"/>
      </w:pPr>
    </w:p>
    <w:p w14:paraId="1974CF5D" w14:textId="77777777" w:rsidR="009B12CC" w:rsidRDefault="009B12CC" w:rsidP="009B12CC">
      <w:pPr>
        <w:jc w:val="both"/>
      </w:pPr>
    </w:p>
    <w:p w14:paraId="3143E3F9" w14:textId="77777777" w:rsidR="009B12CC" w:rsidRDefault="009B12CC" w:rsidP="009B12CC">
      <w:pPr>
        <w:jc w:val="both"/>
      </w:pPr>
    </w:p>
    <w:p w14:paraId="148DA259" w14:textId="77777777" w:rsidR="009B12CC" w:rsidRDefault="009B12CC" w:rsidP="009B12CC">
      <w:pPr>
        <w:jc w:val="both"/>
      </w:pPr>
    </w:p>
    <w:p w14:paraId="1899F079" w14:textId="77777777" w:rsidR="009B12CC" w:rsidRDefault="009B12CC" w:rsidP="009B12CC">
      <w:pPr>
        <w:jc w:val="both"/>
      </w:pPr>
    </w:p>
    <w:p w14:paraId="64AB1803" w14:textId="77777777" w:rsidR="009B12CC" w:rsidRDefault="009B12CC" w:rsidP="009B12CC">
      <w:pPr>
        <w:jc w:val="both"/>
      </w:pPr>
    </w:p>
    <w:p w14:paraId="12C524ED"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Ex : En N, un litige avec un client nous fait craindre le paiement de 20 000€ de dommages et intérêts. En N+1, notre avocat réévalue le montant de la condamnation à 15 000€.</w:t>
      </w:r>
    </w:p>
    <w:p w14:paraId="302658E9"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 xml:space="preserve">En N+2, la cour d’appel rend son arrêt : l’entreprise doit verser des dommages et </w:t>
      </w:r>
      <w:proofErr w:type="spellStart"/>
      <w:r w:rsidRPr="009D08A3">
        <w:rPr>
          <w:sz w:val="22"/>
          <w:szCs w:val="22"/>
        </w:rPr>
        <w:t>intérets</w:t>
      </w:r>
      <w:proofErr w:type="spellEnd"/>
      <w:r w:rsidRPr="009D08A3">
        <w:rPr>
          <w:sz w:val="22"/>
          <w:szCs w:val="22"/>
        </w:rPr>
        <w:t xml:space="preserve"> s’élevant à 13 500€</w:t>
      </w:r>
    </w:p>
    <w:p w14:paraId="4A2DC10E" w14:textId="77777777" w:rsidR="009B12CC" w:rsidRDefault="009B12CC" w:rsidP="009B12CC">
      <w:pPr>
        <w:jc w:val="both"/>
      </w:pPr>
    </w:p>
    <w:p w14:paraId="58540AD4"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9B12CC" w14:paraId="268CD3D8" w14:textId="77777777" w:rsidTr="00BC52E8">
        <w:tc>
          <w:tcPr>
            <w:tcW w:w="1590" w:type="dxa"/>
          </w:tcPr>
          <w:p w14:paraId="2B305191" w14:textId="77777777" w:rsidR="009B12CC" w:rsidRDefault="009B12CC" w:rsidP="00BC52E8">
            <w:pPr>
              <w:tabs>
                <w:tab w:val="left" w:pos="2016"/>
              </w:tabs>
              <w:jc w:val="both"/>
            </w:pPr>
          </w:p>
          <w:p w14:paraId="77B5E663" w14:textId="6CB644D1" w:rsidR="009B12CC" w:rsidRDefault="00F13036" w:rsidP="00BC52E8">
            <w:pPr>
              <w:tabs>
                <w:tab w:val="left" w:pos="2016"/>
              </w:tabs>
              <w:jc w:val="both"/>
            </w:pPr>
            <w:r>
              <w:t>6815</w:t>
            </w:r>
          </w:p>
          <w:p w14:paraId="277AEA7B" w14:textId="409DC7F6" w:rsidR="00F13036" w:rsidRDefault="00F13036" w:rsidP="00BC52E8">
            <w:pPr>
              <w:tabs>
                <w:tab w:val="left" w:pos="2016"/>
              </w:tabs>
              <w:jc w:val="both"/>
            </w:pPr>
            <w:r>
              <w:t>1511</w:t>
            </w:r>
          </w:p>
          <w:p w14:paraId="18546572" w14:textId="77777777" w:rsidR="009B12CC" w:rsidRDefault="009B12CC" w:rsidP="00BC52E8">
            <w:pPr>
              <w:tabs>
                <w:tab w:val="left" w:pos="2016"/>
              </w:tabs>
              <w:jc w:val="both"/>
            </w:pPr>
          </w:p>
          <w:p w14:paraId="78C47517" w14:textId="77777777" w:rsidR="009B12CC" w:rsidRDefault="009B12CC" w:rsidP="00BC52E8">
            <w:pPr>
              <w:tabs>
                <w:tab w:val="left" w:pos="2016"/>
              </w:tabs>
              <w:jc w:val="both"/>
            </w:pPr>
          </w:p>
        </w:tc>
        <w:tc>
          <w:tcPr>
            <w:tcW w:w="4820" w:type="dxa"/>
          </w:tcPr>
          <w:p w14:paraId="23CCF9C7" w14:textId="72BE0940" w:rsidR="009B12CC" w:rsidRDefault="00F13036" w:rsidP="00F13036">
            <w:pPr>
              <w:jc w:val="center"/>
            </w:pPr>
            <w:r>
              <w:t>N</w:t>
            </w:r>
          </w:p>
          <w:p w14:paraId="09971C0A" w14:textId="77777777" w:rsidR="009B12CC" w:rsidRDefault="009B12CC" w:rsidP="00BC52E8">
            <w:pPr>
              <w:jc w:val="both"/>
            </w:pPr>
          </w:p>
          <w:p w14:paraId="051B6FD2" w14:textId="77777777" w:rsidR="009B12CC" w:rsidRDefault="009B12CC" w:rsidP="00BC52E8">
            <w:pPr>
              <w:jc w:val="both"/>
            </w:pPr>
          </w:p>
          <w:p w14:paraId="089D8A02" w14:textId="77777777" w:rsidR="009B12CC" w:rsidRDefault="009B12CC" w:rsidP="00BC52E8">
            <w:pPr>
              <w:jc w:val="both"/>
            </w:pPr>
            <w:r>
              <w:t>Dotation N</w:t>
            </w:r>
          </w:p>
        </w:tc>
        <w:tc>
          <w:tcPr>
            <w:tcW w:w="1843" w:type="dxa"/>
          </w:tcPr>
          <w:p w14:paraId="0D23480D" w14:textId="77777777" w:rsidR="009B12CC" w:rsidRDefault="009B12CC" w:rsidP="00BC52E8">
            <w:pPr>
              <w:jc w:val="both"/>
            </w:pPr>
          </w:p>
          <w:p w14:paraId="1EC4237A" w14:textId="1619DE51" w:rsidR="00F13036" w:rsidRDefault="00F13036" w:rsidP="00BC52E8">
            <w:pPr>
              <w:jc w:val="both"/>
            </w:pPr>
            <w:r>
              <w:t>20 000</w:t>
            </w:r>
          </w:p>
        </w:tc>
        <w:tc>
          <w:tcPr>
            <w:tcW w:w="1843" w:type="dxa"/>
          </w:tcPr>
          <w:p w14:paraId="3C646B18" w14:textId="77777777" w:rsidR="009B12CC" w:rsidRDefault="009B12CC" w:rsidP="00BC52E8">
            <w:pPr>
              <w:jc w:val="both"/>
            </w:pPr>
          </w:p>
          <w:p w14:paraId="422F8005" w14:textId="77777777" w:rsidR="00F13036" w:rsidRDefault="00F13036" w:rsidP="00BC52E8">
            <w:pPr>
              <w:jc w:val="both"/>
            </w:pPr>
          </w:p>
          <w:p w14:paraId="6591D45D" w14:textId="2FAA1690" w:rsidR="00F13036" w:rsidRDefault="00F13036" w:rsidP="00BC52E8">
            <w:pPr>
              <w:jc w:val="both"/>
            </w:pPr>
            <w:r>
              <w:t>20 000</w:t>
            </w:r>
          </w:p>
        </w:tc>
      </w:tr>
      <w:tr w:rsidR="009B12CC" w14:paraId="69190742" w14:textId="77777777" w:rsidTr="00BC52E8">
        <w:tc>
          <w:tcPr>
            <w:tcW w:w="1590" w:type="dxa"/>
          </w:tcPr>
          <w:p w14:paraId="7A2AF76D" w14:textId="77777777" w:rsidR="009B12CC" w:rsidRDefault="009B12CC" w:rsidP="00BC52E8">
            <w:pPr>
              <w:tabs>
                <w:tab w:val="left" w:pos="2016"/>
              </w:tabs>
              <w:jc w:val="both"/>
            </w:pPr>
          </w:p>
          <w:p w14:paraId="717111A0" w14:textId="77777777" w:rsidR="00F13036" w:rsidRDefault="00F13036" w:rsidP="00BC52E8">
            <w:pPr>
              <w:tabs>
                <w:tab w:val="left" w:pos="2016"/>
              </w:tabs>
              <w:jc w:val="both"/>
            </w:pPr>
            <w:r>
              <w:t>1511</w:t>
            </w:r>
          </w:p>
          <w:p w14:paraId="03A7DA11" w14:textId="29C0915F" w:rsidR="00F13036" w:rsidRDefault="00F13036" w:rsidP="00BC52E8">
            <w:pPr>
              <w:tabs>
                <w:tab w:val="left" w:pos="2016"/>
              </w:tabs>
              <w:jc w:val="both"/>
            </w:pPr>
            <w:r>
              <w:t>7815</w:t>
            </w:r>
          </w:p>
        </w:tc>
        <w:tc>
          <w:tcPr>
            <w:tcW w:w="4820" w:type="dxa"/>
          </w:tcPr>
          <w:p w14:paraId="5965746C" w14:textId="77777777" w:rsidR="009B12CC" w:rsidRDefault="009B12CC" w:rsidP="00BC52E8">
            <w:pPr>
              <w:jc w:val="both"/>
            </w:pPr>
          </w:p>
          <w:p w14:paraId="2430408F" w14:textId="77777777" w:rsidR="009B12CC" w:rsidRDefault="009B12CC" w:rsidP="00BC52E8">
            <w:pPr>
              <w:jc w:val="both"/>
            </w:pPr>
          </w:p>
          <w:p w14:paraId="6A2961F2" w14:textId="77777777" w:rsidR="009B12CC" w:rsidRDefault="009B12CC" w:rsidP="00BC52E8">
            <w:pPr>
              <w:jc w:val="both"/>
            </w:pPr>
          </w:p>
          <w:p w14:paraId="509F835D" w14:textId="77777777" w:rsidR="009B12CC" w:rsidRDefault="009B12CC" w:rsidP="00BC52E8">
            <w:pPr>
              <w:jc w:val="both"/>
            </w:pPr>
          </w:p>
          <w:p w14:paraId="127F69B2" w14:textId="77777777" w:rsidR="009B12CC" w:rsidRDefault="009B12CC" w:rsidP="00BC52E8">
            <w:pPr>
              <w:jc w:val="both"/>
            </w:pPr>
            <w:r>
              <w:t>Ajustement N+1</w:t>
            </w:r>
          </w:p>
        </w:tc>
        <w:tc>
          <w:tcPr>
            <w:tcW w:w="1843" w:type="dxa"/>
          </w:tcPr>
          <w:p w14:paraId="56199F4C" w14:textId="77777777" w:rsidR="009B12CC" w:rsidRDefault="009B12CC" w:rsidP="00BC52E8">
            <w:pPr>
              <w:jc w:val="both"/>
            </w:pPr>
          </w:p>
          <w:p w14:paraId="3D067C26" w14:textId="02F9ED1B" w:rsidR="00F13036" w:rsidRDefault="00F13036" w:rsidP="00BC52E8">
            <w:pPr>
              <w:jc w:val="both"/>
            </w:pPr>
            <w:r>
              <w:t>5 000</w:t>
            </w:r>
          </w:p>
        </w:tc>
        <w:tc>
          <w:tcPr>
            <w:tcW w:w="1843" w:type="dxa"/>
          </w:tcPr>
          <w:p w14:paraId="1A5C32F4" w14:textId="77777777" w:rsidR="009B12CC" w:rsidRDefault="009B12CC" w:rsidP="00BC52E8">
            <w:pPr>
              <w:jc w:val="both"/>
            </w:pPr>
          </w:p>
          <w:p w14:paraId="60A680AD" w14:textId="77777777" w:rsidR="00F13036" w:rsidRDefault="00F13036" w:rsidP="00BC52E8">
            <w:pPr>
              <w:jc w:val="both"/>
            </w:pPr>
          </w:p>
          <w:p w14:paraId="3CD59745" w14:textId="10958053" w:rsidR="00F13036" w:rsidRDefault="00F13036" w:rsidP="00BC52E8">
            <w:pPr>
              <w:jc w:val="both"/>
            </w:pPr>
            <w:r>
              <w:t>5 000</w:t>
            </w:r>
          </w:p>
        </w:tc>
      </w:tr>
      <w:tr w:rsidR="009B12CC" w14:paraId="49507464" w14:textId="77777777" w:rsidTr="00BC52E8">
        <w:tc>
          <w:tcPr>
            <w:tcW w:w="1590" w:type="dxa"/>
          </w:tcPr>
          <w:p w14:paraId="15990F4C" w14:textId="77777777" w:rsidR="009B12CC" w:rsidRDefault="009B12CC" w:rsidP="00BC52E8">
            <w:pPr>
              <w:tabs>
                <w:tab w:val="left" w:pos="2016"/>
              </w:tabs>
              <w:jc w:val="both"/>
            </w:pPr>
          </w:p>
          <w:p w14:paraId="24C3613C" w14:textId="5B95C440" w:rsidR="00F13036" w:rsidRDefault="00F13036" w:rsidP="00BC52E8">
            <w:pPr>
              <w:tabs>
                <w:tab w:val="left" w:pos="2016"/>
              </w:tabs>
              <w:jc w:val="both"/>
            </w:pPr>
            <w:r>
              <w:t>1511</w:t>
            </w:r>
          </w:p>
          <w:p w14:paraId="1B96A3D1" w14:textId="286F0A34" w:rsidR="00F13036" w:rsidRDefault="00F13036" w:rsidP="00BC52E8">
            <w:pPr>
              <w:tabs>
                <w:tab w:val="left" w:pos="2016"/>
              </w:tabs>
              <w:jc w:val="both"/>
            </w:pPr>
            <w:r>
              <w:t>7815</w:t>
            </w:r>
          </w:p>
          <w:p w14:paraId="00385CFA" w14:textId="33D8F1DC" w:rsidR="00F13036" w:rsidRDefault="00F13036" w:rsidP="00BC52E8">
            <w:pPr>
              <w:tabs>
                <w:tab w:val="left" w:pos="2016"/>
              </w:tabs>
              <w:jc w:val="both"/>
            </w:pPr>
          </w:p>
        </w:tc>
        <w:tc>
          <w:tcPr>
            <w:tcW w:w="4820" w:type="dxa"/>
          </w:tcPr>
          <w:p w14:paraId="0D5388D0" w14:textId="77777777" w:rsidR="009B12CC" w:rsidRDefault="009B12CC" w:rsidP="00BC52E8">
            <w:pPr>
              <w:jc w:val="both"/>
            </w:pPr>
          </w:p>
          <w:p w14:paraId="58B44A8F" w14:textId="77777777" w:rsidR="009B12CC" w:rsidRDefault="009B12CC" w:rsidP="00BC52E8">
            <w:pPr>
              <w:jc w:val="both"/>
            </w:pPr>
          </w:p>
          <w:p w14:paraId="179D449B" w14:textId="77777777" w:rsidR="009B12CC" w:rsidRDefault="009B12CC" w:rsidP="00BC52E8">
            <w:pPr>
              <w:jc w:val="both"/>
            </w:pPr>
          </w:p>
          <w:p w14:paraId="075DB1BF" w14:textId="77777777" w:rsidR="009B12CC" w:rsidRDefault="009B12CC" w:rsidP="00BC52E8">
            <w:pPr>
              <w:jc w:val="both"/>
            </w:pPr>
          </w:p>
          <w:p w14:paraId="3078B225" w14:textId="77777777" w:rsidR="009B12CC" w:rsidRDefault="009B12CC" w:rsidP="00BC52E8">
            <w:pPr>
              <w:jc w:val="both"/>
            </w:pPr>
            <w:r>
              <w:t>Reprise à la fin du risque (N+2)</w:t>
            </w:r>
          </w:p>
        </w:tc>
        <w:tc>
          <w:tcPr>
            <w:tcW w:w="1843" w:type="dxa"/>
          </w:tcPr>
          <w:p w14:paraId="3043D49C" w14:textId="77777777" w:rsidR="009B12CC" w:rsidRDefault="009B12CC" w:rsidP="00BC52E8">
            <w:pPr>
              <w:jc w:val="both"/>
            </w:pPr>
          </w:p>
          <w:p w14:paraId="21571367" w14:textId="1F5EF614" w:rsidR="00F13036" w:rsidRDefault="00F13036" w:rsidP="00BC52E8">
            <w:pPr>
              <w:jc w:val="both"/>
            </w:pPr>
            <w:r>
              <w:t>15 000</w:t>
            </w:r>
          </w:p>
        </w:tc>
        <w:tc>
          <w:tcPr>
            <w:tcW w:w="1843" w:type="dxa"/>
          </w:tcPr>
          <w:p w14:paraId="0EBD74EF" w14:textId="77777777" w:rsidR="009B12CC" w:rsidRDefault="009B12CC" w:rsidP="00BC52E8">
            <w:pPr>
              <w:jc w:val="both"/>
            </w:pPr>
          </w:p>
          <w:p w14:paraId="30467A85" w14:textId="77777777" w:rsidR="00F13036" w:rsidRDefault="00F13036" w:rsidP="00BC52E8">
            <w:pPr>
              <w:jc w:val="both"/>
            </w:pPr>
          </w:p>
          <w:p w14:paraId="249027B8" w14:textId="39BD8C45" w:rsidR="00F13036" w:rsidRDefault="00F13036" w:rsidP="00BC52E8">
            <w:pPr>
              <w:jc w:val="both"/>
            </w:pPr>
            <w:r>
              <w:t>15 000</w:t>
            </w:r>
          </w:p>
        </w:tc>
      </w:tr>
      <w:tr w:rsidR="009B12CC" w14:paraId="1D34696A" w14:textId="77777777" w:rsidTr="00BC52E8">
        <w:tc>
          <w:tcPr>
            <w:tcW w:w="1590" w:type="dxa"/>
          </w:tcPr>
          <w:p w14:paraId="1D443975" w14:textId="77777777" w:rsidR="009B12CC" w:rsidRDefault="009B12CC" w:rsidP="00BC52E8">
            <w:pPr>
              <w:tabs>
                <w:tab w:val="left" w:pos="2016"/>
              </w:tabs>
              <w:jc w:val="both"/>
            </w:pPr>
          </w:p>
          <w:p w14:paraId="496841F1" w14:textId="77777777" w:rsidR="00F13036" w:rsidRDefault="00F13036" w:rsidP="00BC52E8">
            <w:pPr>
              <w:tabs>
                <w:tab w:val="left" w:pos="2016"/>
              </w:tabs>
              <w:jc w:val="both"/>
            </w:pPr>
            <w:r>
              <w:t>678</w:t>
            </w:r>
          </w:p>
          <w:p w14:paraId="2E8E0329" w14:textId="38490E62" w:rsidR="00F13036" w:rsidRDefault="00F13036" w:rsidP="00BC52E8">
            <w:pPr>
              <w:tabs>
                <w:tab w:val="left" w:pos="2016"/>
              </w:tabs>
              <w:jc w:val="both"/>
            </w:pPr>
            <w:r>
              <w:t>512</w:t>
            </w:r>
          </w:p>
        </w:tc>
        <w:tc>
          <w:tcPr>
            <w:tcW w:w="4820" w:type="dxa"/>
          </w:tcPr>
          <w:p w14:paraId="191C05C7" w14:textId="77777777" w:rsidR="009B12CC" w:rsidRDefault="009B12CC" w:rsidP="00BC52E8">
            <w:pPr>
              <w:jc w:val="both"/>
            </w:pPr>
          </w:p>
          <w:p w14:paraId="63165A83" w14:textId="77777777" w:rsidR="009B12CC" w:rsidRDefault="009B12CC" w:rsidP="00BC52E8">
            <w:pPr>
              <w:jc w:val="both"/>
            </w:pPr>
          </w:p>
          <w:p w14:paraId="6B9B4EC5" w14:textId="77777777" w:rsidR="009B12CC" w:rsidRDefault="009B12CC" w:rsidP="00BC52E8">
            <w:pPr>
              <w:jc w:val="both"/>
            </w:pPr>
          </w:p>
          <w:p w14:paraId="4029CD15" w14:textId="77777777" w:rsidR="009B12CC" w:rsidRDefault="009B12CC" w:rsidP="00BC52E8">
            <w:pPr>
              <w:jc w:val="both"/>
            </w:pPr>
          </w:p>
          <w:p w14:paraId="1EAD7FAA" w14:textId="77777777" w:rsidR="009B12CC" w:rsidRDefault="009B12CC" w:rsidP="00BC52E8">
            <w:pPr>
              <w:jc w:val="both"/>
            </w:pPr>
            <w:r>
              <w:t>Paiement de l’indemnité</w:t>
            </w:r>
          </w:p>
        </w:tc>
        <w:tc>
          <w:tcPr>
            <w:tcW w:w="1843" w:type="dxa"/>
          </w:tcPr>
          <w:p w14:paraId="1DC77C7C" w14:textId="77777777" w:rsidR="009B12CC" w:rsidRDefault="009B12CC" w:rsidP="00BC52E8">
            <w:pPr>
              <w:jc w:val="both"/>
            </w:pPr>
          </w:p>
          <w:p w14:paraId="010758DB" w14:textId="374BF45F" w:rsidR="00F13036" w:rsidRDefault="00F13036" w:rsidP="00BC52E8">
            <w:pPr>
              <w:jc w:val="both"/>
            </w:pPr>
            <w:r>
              <w:t>13 500</w:t>
            </w:r>
          </w:p>
        </w:tc>
        <w:tc>
          <w:tcPr>
            <w:tcW w:w="1843" w:type="dxa"/>
          </w:tcPr>
          <w:p w14:paraId="001C017B" w14:textId="77777777" w:rsidR="009B12CC" w:rsidRDefault="009B12CC" w:rsidP="00BC52E8">
            <w:pPr>
              <w:jc w:val="both"/>
            </w:pPr>
          </w:p>
          <w:p w14:paraId="133CBB32" w14:textId="77777777" w:rsidR="00F13036" w:rsidRDefault="00F13036" w:rsidP="00BC52E8">
            <w:pPr>
              <w:jc w:val="both"/>
            </w:pPr>
          </w:p>
          <w:p w14:paraId="11E87099" w14:textId="70C3D0CC" w:rsidR="00F13036" w:rsidRDefault="00F13036" w:rsidP="00BC52E8">
            <w:pPr>
              <w:jc w:val="both"/>
            </w:pPr>
            <w:r>
              <w:t>13 500</w:t>
            </w:r>
          </w:p>
        </w:tc>
      </w:tr>
    </w:tbl>
    <w:p w14:paraId="7EBCBF97" w14:textId="77777777" w:rsidR="009B12CC" w:rsidRDefault="009B12CC" w:rsidP="009B12CC">
      <w:pPr>
        <w:jc w:val="both"/>
      </w:pPr>
    </w:p>
    <w:p w14:paraId="2A0EEF44" w14:textId="77777777" w:rsidR="009B12CC" w:rsidRDefault="009B12CC" w:rsidP="009B12CC">
      <w:pPr>
        <w:jc w:val="both"/>
      </w:pPr>
      <w:r>
        <w:t>Rem sur le transfert de risque</w:t>
      </w:r>
    </w:p>
    <w:p w14:paraId="19FDD90D" w14:textId="77777777" w:rsidR="009B12CC" w:rsidRDefault="009B12CC" w:rsidP="009B12CC">
      <w:pPr>
        <w:jc w:val="both"/>
      </w:pPr>
    </w:p>
    <w:p w14:paraId="3A7C76EE" w14:textId="77777777" w:rsidR="009B12CC" w:rsidRDefault="009B12CC" w:rsidP="009B12CC">
      <w:pPr>
        <w:jc w:val="both"/>
      </w:pPr>
    </w:p>
    <w:p w14:paraId="53EB4C92" w14:textId="77777777" w:rsidR="009B12CC" w:rsidRDefault="009B12CC" w:rsidP="009B12CC">
      <w:pPr>
        <w:jc w:val="both"/>
      </w:pPr>
    </w:p>
    <w:p w14:paraId="04E55B27" w14:textId="77777777" w:rsidR="009B12CC" w:rsidRDefault="009B12CC" w:rsidP="009B12CC">
      <w:pPr>
        <w:jc w:val="both"/>
      </w:pPr>
    </w:p>
    <w:p w14:paraId="6DE6A009" w14:textId="77777777" w:rsidR="009B12CC" w:rsidRDefault="009B12CC" w:rsidP="009B12CC">
      <w:pPr>
        <w:jc w:val="both"/>
      </w:pPr>
    </w:p>
    <w:p w14:paraId="4396744D" w14:textId="77777777" w:rsidR="009B12CC" w:rsidRDefault="009B12CC" w:rsidP="009B12CC">
      <w:pPr>
        <w:jc w:val="both"/>
      </w:pPr>
    </w:p>
    <w:p w14:paraId="7DF891B3" w14:textId="77777777" w:rsidR="009B12CC" w:rsidRDefault="009B12CC" w:rsidP="009B12CC">
      <w:pPr>
        <w:jc w:val="both"/>
      </w:pPr>
    </w:p>
    <w:p w14:paraId="43FA772A" w14:textId="77777777" w:rsidR="009B12CC" w:rsidRDefault="009B12CC" w:rsidP="009B12CC">
      <w:pPr>
        <w:jc w:val="both"/>
      </w:pPr>
    </w:p>
    <w:p w14:paraId="7ABA58E7" w14:textId="77777777" w:rsidR="009B12CC" w:rsidRDefault="009B12CC" w:rsidP="009B12CC">
      <w:pPr>
        <w:pStyle w:val="Paragraphedeliste"/>
        <w:numPr>
          <w:ilvl w:val="0"/>
          <w:numId w:val="1"/>
        </w:numPr>
        <w:jc w:val="both"/>
        <w:rPr>
          <w:rFonts w:ascii="Andale Mono" w:hAnsi="Andale Mono"/>
          <w:sz w:val="28"/>
          <w:szCs w:val="28"/>
        </w:rPr>
      </w:pPr>
      <w:r w:rsidRPr="009D08A3">
        <w:rPr>
          <w:rFonts w:ascii="Andale Mono" w:hAnsi="Andale Mono"/>
          <w:sz w:val="28"/>
          <w:szCs w:val="28"/>
        </w:rPr>
        <w:t>Les cas particuliers</w:t>
      </w:r>
    </w:p>
    <w:p w14:paraId="59F17D2B" w14:textId="77777777" w:rsidR="009B12CC" w:rsidRPr="009D08A3" w:rsidRDefault="009B12CC" w:rsidP="009B12CC">
      <w:pPr>
        <w:pStyle w:val="Paragraphedeliste"/>
        <w:ind w:left="1080"/>
        <w:jc w:val="both"/>
        <w:rPr>
          <w:rFonts w:ascii="Andale Mono" w:hAnsi="Andale Mono"/>
          <w:sz w:val="28"/>
          <w:szCs w:val="28"/>
        </w:rPr>
      </w:pPr>
    </w:p>
    <w:p w14:paraId="205BC027" w14:textId="77777777" w:rsidR="009B12CC" w:rsidRDefault="009B12CC" w:rsidP="009B12CC">
      <w:pPr>
        <w:pStyle w:val="Paragraphedeliste"/>
        <w:numPr>
          <w:ilvl w:val="0"/>
          <w:numId w:val="10"/>
        </w:numPr>
        <w:jc w:val="both"/>
        <w:rPr>
          <w:rFonts w:ascii="Avenir Next" w:hAnsi="Avenir Next"/>
          <w:sz w:val="28"/>
          <w:szCs w:val="28"/>
        </w:rPr>
      </w:pPr>
      <w:r w:rsidRPr="009D08A3">
        <w:rPr>
          <w:rFonts w:ascii="Avenir Next" w:hAnsi="Avenir Next"/>
          <w:sz w:val="28"/>
          <w:szCs w:val="28"/>
        </w:rPr>
        <w:t>La provision pour restructuration</w:t>
      </w:r>
    </w:p>
    <w:p w14:paraId="7AE7505C" w14:textId="77777777" w:rsidR="009B12CC" w:rsidRDefault="009B12CC" w:rsidP="009B12CC">
      <w:pPr>
        <w:pStyle w:val="Paragraphedeliste"/>
        <w:numPr>
          <w:ilvl w:val="0"/>
          <w:numId w:val="11"/>
        </w:numPr>
        <w:jc w:val="both"/>
      </w:pPr>
      <w:r>
        <w:t>Définition</w:t>
      </w:r>
    </w:p>
    <w:p w14:paraId="1702E278" w14:textId="77777777" w:rsidR="009B12CC" w:rsidRDefault="009B12CC" w:rsidP="009B12CC">
      <w:pPr>
        <w:jc w:val="both"/>
      </w:pPr>
      <w:r>
        <w:t>La provision pour restructuration concerne l’arrêt, la cession ou la réorganisation d’une branche d’activité.</w:t>
      </w:r>
    </w:p>
    <w:p w14:paraId="64B6D19C" w14:textId="77777777" w:rsidR="009B12CC" w:rsidRDefault="009B12CC" w:rsidP="009B12CC">
      <w:pPr>
        <w:jc w:val="both"/>
      </w:pPr>
    </w:p>
    <w:p w14:paraId="54943A78" w14:textId="77777777" w:rsidR="009B12CC" w:rsidRDefault="009B12CC" w:rsidP="009B12CC">
      <w:pPr>
        <w:pStyle w:val="Paragraphedeliste"/>
        <w:numPr>
          <w:ilvl w:val="0"/>
          <w:numId w:val="11"/>
        </w:numPr>
        <w:jc w:val="both"/>
      </w:pPr>
      <w:r>
        <w:t>Conditions de comptabilisation</w:t>
      </w:r>
    </w:p>
    <w:p w14:paraId="5593DD8B" w14:textId="77777777" w:rsidR="009B12CC" w:rsidRDefault="009B12CC" w:rsidP="009B12CC">
      <w:pPr>
        <w:jc w:val="both"/>
      </w:pPr>
      <w:r>
        <w:t xml:space="preserve">Pour faire l’objet d’une provision la restructuration doit faire l’objet : </w:t>
      </w:r>
    </w:p>
    <w:p w14:paraId="24A6F012" w14:textId="77777777" w:rsidR="009B12CC" w:rsidRDefault="009B12CC" w:rsidP="009B12CC">
      <w:pPr>
        <w:pStyle w:val="Paragraphedeliste"/>
        <w:numPr>
          <w:ilvl w:val="0"/>
          <w:numId w:val="3"/>
        </w:numPr>
        <w:jc w:val="both"/>
      </w:pPr>
      <w:r>
        <w:t>D’une annonce auprès du ou des tiers concernés (ex : les représentants du personnel réunis en CE ont été informé d’un projet de restructuration entrainant un plan de sauvegarde de l’emploi)</w:t>
      </w:r>
    </w:p>
    <w:p w14:paraId="33549C76" w14:textId="77777777" w:rsidR="009B12CC" w:rsidRDefault="009B12CC" w:rsidP="009B12CC">
      <w:pPr>
        <w:pStyle w:val="Paragraphedeliste"/>
        <w:numPr>
          <w:ilvl w:val="0"/>
          <w:numId w:val="3"/>
        </w:numPr>
        <w:jc w:val="both"/>
      </w:pPr>
      <w:r>
        <w:t>D’un contrat de fusion ou cession partielle d’actif finalisée (le contrat ne doit être dans la phase de pourparlers)</w:t>
      </w:r>
    </w:p>
    <w:p w14:paraId="50031E01" w14:textId="77777777" w:rsidR="009B12CC" w:rsidRDefault="009B12CC" w:rsidP="009B12CC">
      <w:pPr>
        <w:jc w:val="both"/>
      </w:pPr>
    </w:p>
    <w:p w14:paraId="22A2DC9D" w14:textId="77777777" w:rsidR="009B12CC" w:rsidRDefault="009B12CC" w:rsidP="009B12CC">
      <w:pPr>
        <w:pStyle w:val="Paragraphedeliste"/>
        <w:numPr>
          <w:ilvl w:val="0"/>
          <w:numId w:val="11"/>
        </w:numPr>
        <w:jc w:val="both"/>
      </w:pPr>
      <w:r>
        <w:t>Montant de la provision</w:t>
      </w:r>
    </w:p>
    <w:p w14:paraId="5CF63B1D" w14:textId="77777777" w:rsidR="009B12CC" w:rsidRDefault="009B12CC" w:rsidP="009B12CC">
      <w:pPr>
        <w:jc w:val="both"/>
      </w:pPr>
      <w:r>
        <w:t xml:space="preserve">Le montant de la provision inclut uniquement les dépenses entrainées par la restructuration elle-même. Les dépenses liées aux activités futures ne peuvent être provisionnées. </w:t>
      </w:r>
    </w:p>
    <w:p w14:paraId="6D46BDB2" w14:textId="77777777" w:rsidR="009B12CC" w:rsidRDefault="009B12CC" w:rsidP="009B12CC">
      <w:pPr>
        <w:jc w:val="both"/>
      </w:pPr>
      <w:r>
        <w:t>Ainsi, les frais de formation pour la reconversion des personnels ou les frais de réaménagement des locaux ne peuvent être provisionnées.</w:t>
      </w:r>
    </w:p>
    <w:p w14:paraId="4DE840A9" w14:textId="77777777" w:rsidR="009B12CC" w:rsidRDefault="009B12CC" w:rsidP="009B12CC">
      <w:pPr>
        <w:jc w:val="both"/>
      </w:pPr>
      <w:r>
        <w:t>Les frais prévisionnels liés aux indemnités de licenciements peuvent faire l’objet d’une provision.</w:t>
      </w:r>
    </w:p>
    <w:p w14:paraId="62057BEB" w14:textId="77777777" w:rsidR="009B12CC" w:rsidRPr="009D08A3" w:rsidRDefault="009B12CC" w:rsidP="009B12CC">
      <w:pPr>
        <w:jc w:val="both"/>
      </w:pPr>
    </w:p>
    <w:p w14:paraId="076FCF20" w14:textId="77777777" w:rsidR="009B12CC" w:rsidRDefault="009B12CC" w:rsidP="009B12CC">
      <w:pPr>
        <w:pStyle w:val="Paragraphedeliste"/>
        <w:numPr>
          <w:ilvl w:val="0"/>
          <w:numId w:val="10"/>
        </w:numPr>
        <w:jc w:val="both"/>
        <w:rPr>
          <w:rFonts w:ascii="Avenir Next" w:hAnsi="Avenir Next"/>
          <w:sz w:val="28"/>
          <w:szCs w:val="28"/>
        </w:rPr>
      </w:pPr>
      <w:r w:rsidRPr="009D08A3">
        <w:rPr>
          <w:rFonts w:ascii="Avenir Next" w:hAnsi="Avenir Next"/>
          <w:sz w:val="28"/>
          <w:szCs w:val="28"/>
        </w:rPr>
        <w:t>La provision pour engagements de retraite</w:t>
      </w:r>
    </w:p>
    <w:p w14:paraId="6769AF8D" w14:textId="77777777" w:rsidR="009B12CC" w:rsidRDefault="009B12CC" w:rsidP="009B12CC">
      <w:pPr>
        <w:pStyle w:val="Paragraphedeliste"/>
        <w:numPr>
          <w:ilvl w:val="0"/>
          <w:numId w:val="12"/>
        </w:numPr>
        <w:jc w:val="both"/>
      </w:pPr>
      <w:r>
        <w:t>Justification de la provision</w:t>
      </w:r>
    </w:p>
    <w:p w14:paraId="5C80A583" w14:textId="77777777" w:rsidR="009B12CC" w:rsidRDefault="009B12CC" w:rsidP="009B12CC">
      <w:pPr>
        <w:jc w:val="both"/>
      </w:pPr>
      <w:r>
        <w:t>Dans la règlementation française, ce n’est pas l’employeur qui verse les pensions de retraite. Les caisses de retraites reçoivent les cotisations retraite des actifs et les reversent aux retraités. On parle d’un régime de répartition.</w:t>
      </w:r>
    </w:p>
    <w:p w14:paraId="4E5A8501" w14:textId="77777777" w:rsidR="009B12CC" w:rsidRDefault="009B12CC" w:rsidP="009B12CC">
      <w:pPr>
        <w:jc w:val="both"/>
      </w:pPr>
    </w:p>
    <w:p w14:paraId="01AD5F38" w14:textId="77777777" w:rsidR="009B12CC" w:rsidRDefault="009B12CC" w:rsidP="009B12CC">
      <w:pPr>
        <w:jc w:val="both"/>
      </w:pPr>
      <w:r>
        <w:t>Cependant, l’employeur est tenu de verser une indemnité de départ à la retraite (ou indemnité de fin carrière).</w:t>
      </w:r>
    </w:p>
    <w:p w14:paraId="732A9160" w14:textId="77777777" w:rsidR="009B12CC" w:rsidRDefault="009B12CC" w:rsidP="009B12CC">
      <w:pPr>
        <w:jc w:val="both"/>
      </w:pPr>
    </w:p>
    <w:p w14:paraId="43180C42" w14:textId="77777777" w:rsidR="009B12CC" w:rsidRDefault="009B12CC" w:rsidP="009B12CC">
      <w:pPr>
        <w:pStyle w:val="Paragraphedeliste"/>
        <w:numPr>
          <w:ilvl w:val="0"/>
          <w:numId w:val="12"/>
        </w:numPr>
        <w:jc w:val="both"/>
      </w:pPr>
      <w:r>
        <w:t>Conditions</w:t>
      </w:r>
    </w:p>
    <w:p w14:paraId="0C9B1E9D" w14:textId="77777777" w:rsidR="009B12CC" w:rsidRDefault="009B12CC" w:rsidP="009B12CC">
      <w:pPr>
        <w:jc w:val="both"/>
      </w:pPr>
      <w:r>
        <w:t xml:space="preserve">Pour prétendre à l’indemnité de fin de carrière, le salarié doit : </w:t>
      </w:r>
    </w:p>
    <w:p w14:paraId="35F23052" w14:textId="77777777" w:rsidR="009B12CC" w:rsidRDefault="009B12CC" w:rsidP="009B12CC">
      <w:pPr>
        <w:pStyle w:val="Paragraphedeliste"/>
        <w:numPr>
          <w:ilvl w:val="0"/>
          <w:numId w:val="3"/>
        </w:numPr>
        <w:jc w:val="both"/>
      </w:pPr>
      <w:proofErr w:type="spellStart"/>
      <w:r>
        <w:t>Etre</w:t>
      </w:r>
      <w:proofErr w:type="spellEnd"/>
      <w:r>
        <w:t xml:space="preserve"> en vie au moment de prendre sa retraite</w:t>
      </w:r>
    </w:p>
    <w:p w14:paraId="273497FA" w14:textId="232E0F6F" w:rsidR="009B12CC" w:rsidRDefault="009B12CC" w:rsidP="009B12CC">
      <w:pPr>
        <w:pStyle w:val="Paragraphedeliste"/>
        <w:numPr>
          <w:ilvl w:val="0"/>
          <w:numId w:val="3"/>
        </w:numPr>
        <w:jc w:val="both"/>
      </w:pPr>
      <w:r>
        <w:t>Avoir au moins 10 ans d’ancienneté au moment du départ en retraite</w:t>
      </w:r>
    </w:p>
    <w:p w14:paraId="3912C966" w14:textId="154D6173" w:rsidR="00F13036" w:rsidRDefault="00F13036" w:rsidP="009B12CC">
      <w:pPr>
        <w:pStyle w:val="Paragraphedeliste"/>
        <w:numPr>
          <w:ilvl w:val="0"/>
          <w:numId w:val="3"/>
        </w:numPr>
        <w:jc w:val="both"/>
      </w:pPr>
      <w:proofErr w:type="spellStart"/>
      <w:r>
        <w:t>Etre</w:t>
      </w:r>
      <w:proofErr w:type="spellEnd"/>
      <w:r>
        <w:t xml:space="preserve"> toujours salarié de la société</w:t>
      </w:r>
    </w:p>
    <w:p w14:paraId="27B711A9" w14:textId="77777777" w:rsidR="009B12CC" w:rsidRDefault="009B12CC" w:rsidP="009B12CC">
      <w:pPr>
        <w:pStyle w:val="Paragraphedeliste"/>
        <w:numPr>
          <w:ilvl w:val="0"/>
          <w:numId w:val="3"/>
        </w:numPr>
        <w:jc w:val="both"/>
      </w:pPr>
      <w:r>
        <w:t>De plus, le montant de l’indemnité est calculé sur le salaire moyen des 12 derniers mois (ou sur le salaire moyen calculé sur les 3 salaires les plus élevés)</w:t>
      </w:r>
    </w:p>
    <w:p w14:paraId="352D50F2" w14:textId="77777777" w:rsidR="009B12CC" w:rsidRDefault="009B12CC" w:rsidP="009B12CC">
      <w:pPr>
        <w:jc w:val="both"/>
      </w:pPr>
    </w:p>
    <w:p w14:paraId="26871182" w14:textId="77777777" w:rsidR="009B12CC" w:rsidRDefault="009B12CC" w:rsidP="009B12CC">
      <w:pPr>
        <w:pStyle w:val="Paragraphedeliste"/>
        <w:numPr>
          <w:ilvl w:val="0"/>
          <w:numId w:val="12"/>
        </w:numPr>
        <w:jc w:val="both"/>
      </w:pPr>
      <w:r>
        <w:t>Comptabilisation</w:t>
      </w:r>
    </w:p>
    <w:p w14:paraId="26B7678B" w14:textId="77777777" w:rsidR="009B12CC" w:rsidRDefault="009B12CC" w:rsidP="009B12CC">
      <w:pPr>
        <w:jc w:val="both"/>
      </w:pPr>
      <w:r>
        <w:t xml:space="preserve">En principe, la situation décrite sur les engagements de retraite correspond bien à la définition provision. En effet, toutes les conditions sont réunies : </w:t>
      </w:r>
    </w:p>
    <w:p w14:paraId="650C05A1" w14:textId="77777777" w:rsidR="009B12CC" w:rsidRDefault="009B12CC" w:rsidP="009B12CC">
      <w:pPr>
        <w:pStyle w:val="Paragraphedeliste"/>
        <w:numPr>
          <w:ilvl w:val="0"/>
          <w:numId w:val="3"/>
        </w:numPr>
        <w:jc w:val="both"/>
      </w:pPr>
      <w:r>
        <w:t>L’obligation actuelle envers un tiers</w:t>
      </w:r>
    </w:p>
    <w:p w14:paraId="1940CBEE" w14:textId="77777777" w:rsidR="009B12CC" w:rsidRDefault="009B12CC" w:rsidP="009B12CC">
      <w:pPr>
        <w:pStyle w:val="Paragraphedeliste"/>
        <w:numPr>
          <w:ilvl w:val="0"/>
          <w:numId w:val="3"/>
        </w:numPr>
        <w:jc w:val="both"/>
      </w:pPr>
      <w:r>
        <w:t xml:space="preserve">Résultant d’évènement passés </w:t>
      </w:r>
    </w:p>
    <w:p w14:paraId="65DC2627" w14:textId="77777777" w:rsidR="009B12CC" w:rsidRDefault="009B12CC" w:rsidP="009B12CC">
      <w:pPr>
        <w:pStyle w:val="Paragraphedeliste"/>
        <w:numPr>
          <w:ilvl w:val="0"/>
          <w:numId w:val="3"/>
        </w:numPr>
        <w:jc w:val="both"/>
      </w:pPr>
      <w:r>
        <w:lastRenderedPageBreak/>
        <w:t>Entrainant une sortie probable de ressources sans contrepartie au moins équivalente</w:t>
      </w:r>
    </w:p>
    <w:p w14:paraId="49B084F4" w14:textId="77777777" w:rsidR="009B12CC" w:rsidRDefault="009B12CC" w:rsidP="009B12CC">
      <w:pPr>
        <w:pStyle w:val="Paragraphedeliste"/>
        <w:numPr>
          <w:ilvl w:val="0"/>
          <w:numId w:val="3"/>
        </w:numPr>
        <w:jc w:val="both"/>
      </w:pPr>
      <w:r>
        <w:t>Dont le montant peut être estimé de manière fiable</w:t>
      </w:r>
    </w:p>
    <w:p w14:paraId="13E955DE" w14:textId="77777777" w:rsidR="009B12CC" w:rsidRDefault="009B12CC" w:rsidP="009B12CC">
      <w:pPr>
        <w:ind w:left="360"/>
        <w:jc w:val="both"/>
      </w:pPr>
    </w:p>
    <w:p w14:paraId="798FD53A" w14:textId="77777777" w:rsidR="009B12CC" w:rsidRDefault="009B12CC" w:rsidP="009B12CC">
      <w:pPr>
        <w:ind w:left="360"/>
        <w:jc w:val="both"/>
      </w:pPr>
      <w:r>
        <w:t>En effet, les outils statistiques permettent de mesurer l’espérance de vie, le taux de turnover dans l’entreprise ainsi le salaire moyen ajustée du pourcentage d’augmentation salariale</w:t>
      </w:r>
    </w:p>
    <w:p w14:paraId="1DF3F906" w14:textId="77777777" w:rsidR="009B12CC" w:rsidRDefault="009B12CC" w:rsidP="009B12CC">
      <w:pPr>
        <w:ind w:left="360"/>
        <w:jc w:val="both"/>
      </w:pPr>
    </w:p>
    <w:p w14:paraId="33A524D6" w14:textId="77777777" w:rsidR="009B12CC" w:rsidRDefault="009B12CC" w:rsidP="009B12CC">
      <w:pPr>
        <w:jc w:val="both"/>
      </w:pPr>
      <w:r>
        <w:t>Cependant, exceptionnellement, le PCG autorise les entreprises à ne pas constater la provision au passif. En effet, de nombreuses entreprises sont réticentes car la provision n’est pas déductible fiscalement.</w:t>
      </w:r>
    </w:p>
    <w:p w14:paraId="6182EE6C" w14:textId="2F674178" w:rsidR="009B12CC" w:rsidRDefault="009B12CC" w:rsidP="009B12CC">
      <w:pPr>
        <w:jc w:val="both"/>
      </w:pPr>
      <w:r>
        <w:t xml:space="preserve">Dans ce cas, le montant de la provision doit être mentionné </w:t>
      </w:r>
      <w:r w:rsidRPr="000C7029">
        <w:rPr>
          <w:b/>
          <w:bCs/>
        </w:rPr>
        <w:t>dans l’annexe</w:t>
      </w:r>
      <w:r>
        <w:t xml:space="preserve"> dans la partie « engagements financiers »</w:t>
      </w:r>
    </w:p>
    <w:p w14:paraId="27475D28" w14:textId="77CD82B9" w:rsidR="000C7029" w:rsidRDefault="000C7029" w:rsidP="009B12CC">
      <w:pPr>
        <w:jc w:val="both"/>
      </w:pPr>
    </w:p>
    <w:p w14:paraId="221CE014" w14:textId="30E25F9C" w:rsidR="000C7029" w:rsidRDefault="000C7029" w:rsidP="009B12CC">
      <w:pPr>
        <w:jc w:val="both"/>
      </w:pPr>
      <w:r>
        <w:t xml:space="preserve">La première année ou on enregistre la </w:t>
      </w:r>
      <w:proofErr w:type="spellStart"/>
      <w:proofErr w:type="gramStart"/>
      <w:r>
        <w:t>prov</w:t>
      </w:r>
      <w:proofErr w:type="spellEnd"/>
      <w:r>
        <w:t xml:space="preserve">  (</w:t>
      </w:r>
      <w:proofErr w:type="gramEnd"/>
      <w:r>
        <w:t>les changements comptables)</w:t>
      </w:r>
    </w:p>
    <w:p w14:paraId="777AABD3" w14:textId="08ED6BCE" w:rsidR="000C7029" w:rsidRDefault="000C7029" w:rsidP="000C7029">
      <w:pPr>
        <w:pStyle w:val="Paragraphedeliste"/>
        <w:numPr>
          <w:ilvl w:val="0"/>
          <w:numId w:val="5"/>
        </w:numPr>
        <w:jc w:val="both"/>
      </w:pPr>
      <w:r>
        <w:t>Impacté le bénéfice N-1 (mais intangibilité du bilan d’ouverture) : l’impact se fera sur le RAN N-1 (ou les réserves)</w:t>
      </w:r>
    </w:p>
    <w:tbl>
      <w:tblPr>
        <w:tblStyle w:val="Grilledutableau"/>
        <w:tblW w:w="10096" w:type="dxa"/>
        <w:tblLook w:val="04A0" w:firstRow="1" w:lastRow="0" w:firstColumn="1" w:lastColumn="0" w:noHBand="0" w:noVBand="1"/>
      </w:tblPr>
      <w:tblGrid>
        <w:gridCol w:w="1590"/>
        <w:gridCol w:w="4820"/>
        <w:gridCol w:w="1843"/>
        <w:gridCol w:w="1843"/>
      </w:tblGrid>
      <w:tr w:rsidR="000C7029" w14:paraId="391EC545" w14:textId="77777777" w:rsidTr="00BC52E8">
        <w:tc>
          <w:tcPr>
            <w:tcW w:w="1590" w:type="dxa"/>
          </w:tcPr>
          <w:p w14:paraId="4AAC3C67" w14:textId="77777777" w:rsidR="000C7029" w:rsidRDefault="000C7029" w:rsidP="00BC52E8">
            <w:pPr>
              <w:tabs>
                <w:tab w:val="left" w:pos="2016"/>
              </w:tabs>
              <w:jc w:val="both"/>
            </w:pPr>
          </w:p>
          <w:p w14:paraId="77C1D35D" w14:textId="77777777" w:rsidR="000C7029" w:rsidRDefault="000C7029" w:rsidP="00BC52E8">
            <w:pPr>
              <w:tabs>
                <w:tab w:val="left" w:pos="2016"/>
              </w:tabs>
              <w:jc w:val="both"/>
            </w:pPr>
            <w:r>
              <w:t>119 ou 110</w:t>
            </w:r>
          </w:p>
          <w:p w14:paraId="02452F27" w14:textId="0ED1425E" w:rsidR="000C7029" w:rsidRDefault="000C7029" w:rsidP="00BC52E8">
            <w:pPr>
              <w:tabs>
                <w:tab w:val="left" w:pos="2016"/>
              </w:tabs>
              <w:jc w:val="both"/>
            </w:pPr>
            <w:r>
              <w:t>153</w:t>
            </w:r>
          </w:p>
        </w:tc>
        <w:tc>
          <w:tcPr>
            <w:tcW w:w="4820" w:type="dxa"/>
          </w:tcPr>
          <w:p w14:paraId="332E8CF6" w14:textId="21EC969D" w:rsidR="000C7029" w:rsidRDefault="000C7029" w:rsidP="000C7029">
            <w:pPr>
              <w:jc w:val="center"/>
            </w:pPr>
            <w:r>
              <w:t>Début N</w:t>
            </w:r>
          </w:p>
        </w:tc>
        <w:tc>
          <w:tcPr>
            <w:tcW w:w="1843" w:type="dxa"/>
          </w:tcPr>
          <w:p w14:paraId="328A0C47" w14:textId="77777777" w:rsidR="000C7029" w:rsidRDefault="000C7029" w:rsidP="00BC52E8">
            <w:pPr>
              <w:jc w:val="both"/>
            </w:pPr>
          </w:p>
          <w:p w14:paraId="1BE29024" w14:textId="07985B7D" w:rsidR="000C7029" w:rsidRDefault="000C7029" w:rsidP="00BC52E8">
            <w:pPr>
              <w:jc w:val="both"/>
            </w:pPr>
            <w:proofErr w:type="spellStart"/>
            <w:r>
              <w:t>Prov</w:t>
            </w:r>
            <w:proofErr w:type="spellEnd"/>
            <w:r>
              <w:t xml:space="preserve"> N-1</w:t>
            </w:r>
          </w:p>
        </w:tc>
        <w:tc>
          <w:tcPr>
            <w:tcW w:w="1843" w:type="dxa"/>
          </w:tcPr>
          <w:p w14:paraId="49CE448B" w14:textId="77777777" w:rsidR="000C7029" w:rsidRDefault="000C7029" w:rsidP="00BC52E8">
            <w:pPr>
              <w:jc w:val="both"/>
            </w:pPr>
          </w:p>
          <w:p w14:paraId="6C6FA91A" w14:textId="77777777" w:rsidR="000C7029" w:rsidRDefault="000C7029" w:rsidP="00BC52E8">
            <w:pPr>
              <w:jc w:val="both"/>
            </w:pPr>
          </w:p>
          <w:p w14:paraId="5DC0663B" w14:textId="09C86868" w:rsidR="000C7029" w:rsidRDefault="000C7029" w:rsidP="00BC52E8">
            <w:pPr>
              <w:jc w:val="both"/>
            </w:pPr>
            <w:proofErr w:type="spellStart"/>
            <w:r>
              <w:t>Prov</w:t>
            </w:r>
            <w:proofErr w:type="spellEnd"/>
            <w:r>
              <w:t xml:space="preserve"> N-1</w:t>
            </w:r>
          </w:p>
        </w:tc>
      </w:tr>
    </w:tbl>
    <w:p w14:paraId="174D67E0" w14:textId="77777777" w:rsidR="000C7029" w:rsidRPr="009D08A3" w:rsidRDefault="000C7029" w:rsidP="000C7029">
      <w:pPr>
        <w:jc w:val="both"/>
      </w:pPr>
    </w:p>
    <w:p w14:paraId="7701866A" w14:textId="1F03ABC2" w:rsidR="009B12CC" w:rsidRDefault="000C7029" w:rsidP="000C7029">
      <w:pPr>
        <w:pStyle w:val="Paragraphedeliste"/>
        <w:numPr>
          <w:ilvl w:val="0"/>
          <w:numId w:val="5"/>
        </w:numPr>
        <w:jc w:val="both"/>
      </w:pPr>
      <w:r>
        <w:t>Fin N, provision sera ajustée.</w:t>
      </w:r>
    </w:p>
    <w:p w14:paraId="108E80E7" w14:textId="77777777" w:rsidR="009B12CC" w:rsidRDefault="009B12CC" w:rsidP="009B12CC">
      <w:pPr>
        <w:jc w:val="both"/>
      </w:pPr>
    </w:p>
    <w:p w14:paraId="45F3E314" w14:textId="77777777" w:rsidR="009B12CC" w:rsidRDefault="009B12CC" w:rsidP="009B12CC">
      <w:pPr>
        <w:jc w:val="both"/>
      </w:pPr>
    </w:p>
    <w:p w14:paraId="385B42D8" w14:textId="77777777" w:rsidR="009B12CC" w:rsidRPr="009D08A3" w:rsidRDefault="009B12CC" w:rsidP="009B12CC">
      <w:pPr>
        <w:jc w:val="both"/>
      </w:pPr>
    </w:p>
    <w:p w14:paraId="20202460" w14:textId="77777777" w:rsidR="009B12CC" w:rsidRDefault="009B12CC" w:rsidP="009B12CC">
      <w:pPr>
        <w:pStyle w:val="Paragraphedeliste"/>
        <w:numPr>
          <w:ilvl w:val="0"/>
          <w:numId w:val="10"/>
        </w:numPr>
        <w:jc w:val="both"/>
        <w:rPr>
          <w:rFonts w:ascii="Avenir Next" w:hAnsi="Avenir Next"/>
          <w:sz w:val="28"/>
          <w:szCs w:val="28"/>
        </w:rPr>
      </w:pPr>
      <w:r w:rsidRPr="009D08A3">
        <w:rPr>
          <w:rFonts w:ascii="Avenir Next" w:hAnsi="Avenir Next"/>
          <w:sz w:val="28"/>
          <w:szCs w:val="28"/>
        </w:rPr>
        <w:t>La provision pour gros entretien</w:t>
      </w:r>
    </w:p>
    <w:p w14:paraId="0C202A6E" w14:textId="77777777" w:rsidR="009B12CC" w:rsidRDefault="009B12CC" w:rsidP="009B12CC">
      <w:pPr>
        <w:pStyle w:val="Paragraphedeliste"/>
        <w:numPr>
          <w:ilvl w:val="0"/>
          <w:numId w:val="13"/>
        </w:numPr>
        <w:jc w:val="both"/>
      </w:pPr>
      <w:r>
        <w:t>Définition</w:t>
      </w:r>
    </w:p>
    <w:p w14:paraId="4908703D" w14:textId="77777777" w:rsidR="009B12CC" w:rsidRDefault="009B12CC" w:rsidP="009B12CC">
      <w:pPr>
        <w:jc w:val="both"/>
      </w:pPr>
      <w:r>
        <w:t>La provision pour gros entretien ou grosses réparations concerne des immobilisations nécessitant une maintenance ou des révisions dont l’échéance arrive dans plusieurs exercices.</w:t>
      </w:r>
    </w:p>
    <w:p w14:paraId="63C6A96D" w14:textId="77777777" w:rsidR="009B12CC" w:rsidRDefault="009B12CC" w:rsidP="009B12CC">
      <w:pPr>
        <w:jc w:val="both"/>
      </w:pPr>
    </w:p>
    <w:p w14:paraId="575EAF8F"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 xml:space="preserve">Ex : En N, l’entité acquiert un local administratif pour un montant de 185 000€. La toiture doit être révisée tous les </w:t>
      </w:r>
      <w:r>
        <w:rPr>
          <w:sz w:val="22"/>
          <w:szCs w:val="22"/>
        </w:rPr>
        <w:t>5</w:t>
      </w:r>
      <w:r w:rsidRPr="009D08A3">
        <w:rPr>
          <w:sz w:val="22"/>
          <w:szCs w:val="22"/>
        </w:rPr>
        <w:t xml:space="preserve"> ans. Les frais relatifs à cette révision s’élèvent à 25 000€</w:t>
      </w:r>
    </w:p>
    <w:p w14:paraId="6681EF8B"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9B12CC" w14:paraId="63590583" w14:textId="77777777" w:rsidTr="00BC52E8">
        <w:tc>
          <w:tcPr>
            <w:tcW w:w="1590" w:type="dxa"/>
          </w:tcPr>
          <w:p w14:paraId="21CF853C" w14:textId="77777777" w:rsidR="009B12CC" w:rsidRDefault="009B12CC" w:rsidP="00BC52E8">
            <w:pPr>
              <w:tabs>
                <w:tab w:val="left" w:pos="2016"/>
              </w:tabs>
              <w:jc w:val="both"/>
            </w:pPr>
          </w:p>
          <w:p w14:paraId="31370B31" w14:textId="2047C202" w:rsidR="009B12CC" w:rsidRDefault="000C7029" w:rsidP="00BC52E8">
            <w:pPr>
              <w:tabs>
                <w:tab w:val="left" w:pos="2016"/>
              </w:tabs>
              <w:jc w:val="both"/>
            </w:pPr>
            <w:r>
              <w:t>213</w:t>
            </w:r>
          </w:p>
          <w:p w14:paraId="7BEA8EBB" w14:textId="21C41640" w:rsidR="000C7029" w:rsidRDefault="000C7029" w:rsidP="00BC52E8">
            <w:pPr>
              <w:tabs>
                <w:tab w:val="left" w:pos="2016"/>
              </w:tabs>
              <w:jc w:val="both"/>
            </w:pPr>
            <w:r>
              <w:t>404</w:t>
            </w:r>
          </w:p>
          <w:p w14:paraId="27B519B7" w14:textId="77777777" w:rsidR="009B12CC" w:rsidRDefault="009B12CC" w:rsidP="00BC52E8">
            <w:pPr>
              <w:tabs>
                <w:tab w:val="left" w:pos="2016"/>
              </w:tabs>
              <w:jc w:val="both"/>
            </w:pPr>
          </w:p>
          <w:p w14:paraId="69A83CD2" w14:textId="77777777" w:rsidR="009B12CC" w:rsidRDefault="009B12CC" w:rsidP="00BC52E8">
            <w:pPr>
              <w:tabs>
                <w:tab w:val="left" w:pos="2016"/>
              </w:tabs>
              <w:jc w:val="both"/>
            </w:pPr>
          </w:p>
        </w:tc>
        <w:tc>
          <w:tcPr>
            <w:tcW w:w="4820" w:type="dxa"/>
          </w:tcPr>
          <w:p w14:paraId="76323F18" w14:textId="77777777" w:rsidR="009B12CC" w:rsidRDefault="009B12CC" w:rsidP="00BC52E8">
            <w:pPr>
              <w:jc w:val="both"/>
            </w:pPr>
          </w:p>
          <w:p w14:paraId="00AB70C3" w14:textId="77777777" w:rsidR="009B12CC" w:rsidRDefault="009B12CC" w:rsidP="00BC52E8">
            <w:pPr>
              <w:jc w:val="both"/>
            </w:pPr>
          </w:p>
          <w:p w14:paraId="4C1191D3" w14:textId="77777777" w:rsidR="009B12CC" w:rsidRDefault="009B12CC" w:rsidP="00BC52E8">
            <w:pPr>
              <w:jc w:val="both"/>
            </w:pPr>
          </w:p>
          <w:p w14:paraId="59143334" w14:textId="77777777" w:rsidR="009B12CC" w:rsidRDefault="009B12CC" w:rsidP="00BC52E8">
            <w:pPr>
              <w:jc w:val="both"/>
            </w:pPr>
            <w:r>
              <w:t>Acquisition local</w:t>
            </w:r>
          </w:p>
        </w:tc>
        <w:tc>
          <w:tcPr>
            <w:tcW w:w="1843" w:type="dxa"/>
          </w:tcPr>
          <w:p w14:paraId="76422D45" w14:textId="77777777" w:rsidR="009B12CC" w:rsidRDefault="009B12CC" w:rsidP="00BC52E8">
            <w:pPr>
              <w:jc w:val="both"/>
            </w:pPr>
          </w:p>
          <w:p w14:paraId="76FD383D" w14:textId="3C8667E1" w:rsidR="000C7029" w:rsidRDefault="000C7029" w:rsidP="00BC52E8">
            <w:pPr>
              <w:jc w:val="both"/>
            </w:pPr>
            <w:r>
              <w:t>185 000</w:t>
            </w:r>
          </w:p>
        </w:tc>
        <w:tc>
          <w:tcPr>
            <w:tcW w:w="1843" w:type="dxa"/>
          </w:tcPr>
          <w:p w14:paraId="7BBB5BBB" w14:textId="77777777" w:rsidR="009B12CC" w:rsidRDefault="009B12CC" w:rsidP="00BC52E8">
            <w:pPr>
              <w:jc w:val="both"/>
            </w:pPr>
          </w:p>
          <w:p w14:paraId="6A695104" w14:textId="77777777" w:rsidR="000C7029" w:rsidRDefault="000C7029" w:rsidP="00BC52E8">
            <w:pPr>
              <w:jc w:val="both"/>
            </w:pPr>
          </w:p>
          <w:p w14:paraId="6B638101" w14:textId="63383DB0" w:rsidR="000C7029" w:rsidRDefault="000C7029" w:rsidP="00BC52E8">
            <w:pPr>
              <w:jc w:val="both"/>
            </w:pPr>
            <w:r>
              <w:t>185 000</w:t>
            </w:r>
          </w:p>
        </w:tc>
      </w:tr>
    </w:tbl>
    <w:p w14:paraId="6935600F" w14:textId="77777777" w:rsidR="009B12CC" w:rsidRDefault="009B12CC" w:rsidP="009B12CC">
      <w:pPr>
        <w:jc w:val="both"/>
      </w:pPr>
    </w:p>
    <w:p w14:paraId="3FB307C0" w14:textId="77777777" w:rsidR="009B12CC" w:rsidRDefault="009B12CC" w:rsidP="009B12CC">
      <w:pPr>
        <w:jc w:val="both"/>
      </w:pPr>
    </w:p>
    <w:p w14:paraId="523D2498" w14:textId="77777777" w:rsidR="009B12CC" w:rsidRDefault="009B12CC" w:rsidP="009B12CC">
      <w:pPr>
        <w:pStyle w:val="Paragraphedeliste"/>
        <w:numPr>
          <w:ilvl w:val="0"/>
          <w:numId w:val="13"/>
        </w:numPr>
        <w:jc w:val="both"/>
      </w:pPr>
      <w:r>
        <w:t>Traitement comptable</w:t>
      </w:r>
    </w:p>
    <w:p w14:paraId="0EB1BEE0" w14:textId="77777777" w:rsidR="009B12CC" w:rsidRDefault="009B12CC" w:rsidP="009B12CC">
      <w:pPr>
        <w:pStyle w:val="Paragraphedeliste"/>
        <w:numPr>
          <w:ilvl w:val="0"/>
          <w:numId w:val="14"/>
        </w:numPr>
        <w:jc w:val="both"/>
      </w:pPr>
      <w:r>
        <w:t>Comptabilisation en provision</w:t>
      </w:r>
    </w:p>
    <w:p w14:paraId="53F4612E" w14:textId="77777777" w:rsidR="009B12CC" w:rsidRDefault="009B12CC" w:rsidP="009B12CC">
      <w:pPr>
        <w:jc w:val="both"/>
      </w:pPr>
      <w:r>
        <w:t>A chaque fin d’exercice une provision est constituée pour un montant proratiser (montant total/ nombre années)</w:t>
      </w:r>
    </w:p>
    <w:p w14:paraId="6140F854" w14:textId="77777777" w:rsidR="009B12CC" w:rsidRDefault="009B12CC" w:rsidP="009B12CC">
      <w:pPr>
        <w:jc w:val="both"/>
      </w:pPr>
    </w:p>
    <w:p w14:paraId="14838775" w14:textId="77777777" w:rsidR="009B12CC" w:rsidRDefault="009B12CC" w:rsidP="009B12CC">
      <w:pPr>
        <w:jc w:val="both"/>
      </w:pPr>
      <w:r>
        <w:t>A l’extinction de l’obligation, une charge de réparation est enregistrée assortie d’une reprise des montants provisionnés</w:t>
      </w:r>
    </w:p>
    <w:p w14:paraId="14F05E49" w14:textId="77777777" w:rsidR="009B12CC" w:rsidRDefault="009B12CC" w:rsidP="009B12CC">
      <w:pPr>
        <w:jc w:val="both"/>
      </w:pPr>
    </w:p>
    <w:p w14:paraId="645DD4A2"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lastRenderedPageBreak/>
        <w:t xml:space="preserve">Ex : En N, l’entité acquiert un local administratif pour un montant de 185 000€. La toiture doit être révisée tous les </w:t>
      </w:r>
      <w:r>
        <w:rPr>
          <w:sz w:val="22"/>
          <w:szCs w:val="22"/>
        </w:rPr>
        <w:t>5</w:t>
      </w:r>
      <w:r w:rsidRPr="009D08A3">
        <w:rPr>
          <w:sz w:val="22"/>
          <w:szCs w:val="22"/>
        </w:rPr>
        <w:t xml:space="preserve"> ans. Les frais relatifs à cette révision s’élèvent à 25 000€</w:t>
      </w:r>
    </w:p>
    <w:p w14:paraId="7EB33AF1"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9B12CC" w14:paraId="52C897A3" w14:textId="77777777" w:rsidTr="00BC52E8">
        <w:tc>
          <w:tcPr>
            <w:tcW w:w="1590" w:type="dxa"/>
          </w:tcPr>
          <w:p w14:paraId="3CE92590" w14:textId="77777777" w:rsidR="009B12CC" w:rsidRDefault="009B12CC" w:rsidP="00BC52E8">
            <w:pPr>
              <w:tabs>
                <w:tab w:val="left" w:pos="2016"/>
              </w:tabs>
              <w:jc w:val="both"/>
            </w:pPr>
          </w:p>
          <w:p w14:paraId="5752E273" w14:textId="15FDA3D8" w:rsidR="009B12CC" w:rsidRDefault="000C7029" w:rsidP="00BC52E8">
            <w:pPr>
              <w:tabs>
                <w:tab w:val="left" w:pos="2016"/>
              </w:tabs>
              <w:jc w:val="both"/>
            </w:pPr>
            <w:r>
              <w:t>6811</w:t>
            </w:r>
          </w:p>
          <w:p w14:paraId="3E83426D" w14:textId="0273092B" w:rsidR="000C7029" w:rsidRDefault="000C7029" w:rsidP="00BC52E8">
            <w:pPr>
              <w:tabs>
                <w:tab w:val="left" w:pos="2016"/>
              </w:tabs>
              <w:jc w:val="both"/>
            </w:pPr>
            <w:r>
              <w:t>1572</w:t>
            </w:r>
          </w:p>
          <w:p w14:paraId="21C62727" w14:textId="77777777" w:rsidR="009B12CC" w:rsidRDefault="009B12CC" w:rsidP="00BC52E8">
            <w:pPr>
              <w:tabs>
                <w:tab w:val="left" w:pos="2016"/>
              </w:tabs>
              <w:jc w:val="both"/>
            </w:pPr>
          </w:p>
          <w:p w14:paraId="49D8C0AF" w14:textId="77777777" w:rsidR="009B12CC" w:rsidRDefault="009B12CC" w:rsidP="00BC52E8">
            <w:pPr>
              <w:tabs>
                <w:tab w:val="left" w:pos="2016"/>
              </w:tabs>
              <w:jc w:val="both"/>
            </w:pPr>
          </w:p>
        </w:tc>
        <w:tc>
          <w:tcPr>
            <w:tcW w:w="4820" w:type="dxa"/>
          </w:tcPr>
          <w:p w14:paraId="1B64D849" w14:textId="77777777" w:rsidR="009B12CC" w:rsidRDefault="009B12CC" w:rsidP="00BC52E8">
            <w:pPr>
              <w:jc w:val="both"/>
            </w:pPr>
          </w:p>
          <w:p w14:paraId="06CA32C7" w14:textId="77777777" w:rsidR="009B12CC" w:rsidRDefault="009B12CC" w:rsidP="00BC52E8">
            <w:pPr>
              <w:jc w:val="both"/>
            </w:pPr>
          </w:p>
          <w:p w14:paraId="160AAFFF" w14:textId="77777777" w:rsidR="009B12CC" w:rsidRDefault="009B12CC" w:rsidP="00BC52E8">
            <w:pPr>
              <w:jc w:val="both"/>
            </w:pPr>
          </w:p>
          <w:p w14:paraId="330E89DA" w14:textId="0705528D" w:rsidR="009B12CC" w:rsidRDefault="009B12CC" w:rsidP="00BC52E8">
            <w:pPr>
              <w:jc w:val="both"/>
            </w:pPr>
            <w:proofErr w:type="spellStart"/>
            <w:r>
              <w:t>Prov</w:t>
            </w:r>
            <w:proofErr w:type="spellEnd"/>
            <w:r>
              <w:t xml:space="preserve"> N à N+</w:t>
            </w:r>
            <w:r w:rsidR="000C7029">
              <w:t>3</w:t>
            </w:r>
          </w:p>
        </w:tc>
        <w:tc>
          <w:tcPr>
            <w:tcW w:w="1843" w:type="dxa"/>
          </w:tcPr>
          <w:p w14:paraId="5B967A71" w14:textId="77777777" w:rsidR="009B12CC" w:rsidRDefault="009B12CC" w:rsidP="00BC52E8">
            <w:pPr>
              <w:jc w:val="both"/>
            </w:pPr>
          </w:p>
          <w:p w14:paraId="4FCB3D39" w14:textId="17F83173" w:rsidR="000C7029" w:rsidRDefault="000C7029" w:rsidP="00BC52E8">
            <w:pPr>
              <w:jc w:val="both"/>
            </w:pPr>
            <w:r>
              <w:t>5 000</w:t>
            </w:r>
          </w:p>
        </w:tc>
        <w:tc>
          <w:tcPr>
            <w:tcW w:w="1843" w:type="dxa"/>
          </w:tcPr>
          <w:p w14:paraId="1B7E60BE" w14:textId="77777777" w:rsidR="009B12CC" w:rsidRDefault="009B12CC" w:rsidP="00BC52E8">
            <w:pPr>
              <w:jc w:val="both"/>
            </w:pPr>
          </w:p>
          <w:p w14:paraId="1CD82C95" w14:textId="77777777" w:rsidR="000C7029" w:rsidRDefault="000C7029" w:rsidP="00BC52E8">
            <w:pPr>
              <w:jc w:val="both"/>
            </w:pPr>
          </w:p>
          <w:p w14:paraId="42F8830E" w14:textId="14527997" w:rsidR="000C7029" w:rsidRDefault="000C7029" w:rsidP="00BC52E8">
            <w:pPr>
              <w:jc w:val="both"/>
            </w:pPr>
            <w:r>
              <w:t>5 000</w:t>
            </w:r>
          </w:p>
        </w:tc>
      </w:tr>
      <w:tr w:rsidR="009B12CC" w14:paraId="73A5DBD0" w14:textId="77777777" w:rsidTr="00BC52E8">
        <w:tc>
          <w:tcPr>
            <w:tcW w:w="1590" w:type="dxa"/>
          </w:tcPr>
          <w:p w14:paraId="746E231A" w14:textId="3B2D7F3A" w:rsidR="009B12CC" w:rsidRDefault="009B12CC" w:rsidP="00BC52E8">
            <w:pPr>
              <w:tabs>
                <w:tab w:val="left" w:pos="2016"/>
              </w:tabs>
              <w:jc w:val="both"/>
            </w:pPr>
          </w:p>
          <w:p w14:paraId="5B76AE95" w14:textId="517E5B0F" w:rsidR="000C7029" w:rsidRDefault="000C7029" w:rsidP="00BC52E8">
            <w:pPr>
              <w:tabs>
                <w:tab w:val="left" w:pos="2016"/>
              </w:tabs>
              <w:jc w:val="both"/>
            </w:pPr>
            <w:r>
              <w:t>615</w:t>
            </w:r>
          </w:p>
          <w:p w14:paraId="77781F85" w14:textId="23E21CC6" w:rsidR="000C7029" w:rsidRDefault="000C7029" w:rsidP="00BC52E8">
            <w:pPr>
              <w:tabs>
                <w:tab w:val="left" w:pos="2016"/>
              </w:tabs>
              <w:jc w:val="both"/>
            </w:pPr>
            <w:r>
              <w:t>44566</w:t>
            </w:r>
          </w:p>
          <w:p w14:paraId="34768C61" w14:textId="6AFF4744" w:rsidR="000C7029" w:rsidRDefault="000C7029" w:rsidP="00BC52E8">
            <w:pPr>
              <w:tabs>
                <w:tab w:val="left" w:pos="2016"/>
              </w:tabs>
              <w:jc w:val="both"/>
            </w:pPr>
            <w:r>
              <w:t>401</w:t>
            </w:r>
          </w:p>
          <w:p w14:paraId="404582F3" w14:textId="77777777" w:rsidR="009B12CC" w:rsidRDefault="009B12CC" w:rsidP="00BC52E8">
            <w:pPr>
              <w:tabs>
                <w:tab w:val="left" w:pos="2016"/>
              </w:tabs>
              <w:jc w:val="both"/>
            </w:pPr>
          </w:p>
          <w:p w14:paraId="45BD6A56" w14:textId="77777777" w:rsidR="009B12CC" w:rsidRDefault="009B12CC" w:rsidP="00BC52E8">
            <w:pPr>
              <w:tabs>
                <w:tab w:val="left" w:pos="2016"/>
              </w:tabs>
              <w:jc w:val="both"/>
            </w:pPr>
          </w:p>
          <w:p w14:paraId="0EA538B7" w14:textId="77777777" w:rsidR="009B12CC" w:rsidRDefault="009B12CC" w:rsidP="00BC52E8">
            <w:pPr>
              <w:tabs>
                <w:tab w:val="left" w:pos="2016"/>
              </w:tabs>
              <w:jc w:val="both"/>
            </w:pPr>
          </w:p>
        </w:tc>
        <w:tc>
          <w:tcPr>
            <w:tcW w:w="4820" w:type="dxa"/>
          </w:tcPr>
          <w:p w14:paraId="737D854A" w14:textId="185CCCE7" w:rsidR="009B12CC" w:rsidRDefault="000C7029" w:rsidP="000C7029">
            <w:pPr>
              <w:jc w:val="center"/>
            </w:pPr>
            <w:r>
              <w:t>Fin N+4</w:t>
            </w:r>
          </w:p>
          <w:p w14:paraId="316F6CA8" w14:textId="77777777" w:rsidR="009B12CC" w:rsidRDefault="009B12CC" w:rsidP="00BC52E8">
            <w:pPr>
              <w:jc w:val="both"/>
            </w:pPr>
          </w:p>
          <w:p w14:paraId="1AA83DC7" w14:textId="77777777" w:rsidR="009B12CC" w:rsidRDefault="009B12CC" w:rsidP="00BC52E8">
            <w:pPr>
              <w:jc w:val="both"/>
            </w:pPr>
          </w:p>
          <w:p w14:paraId="4356BF7A" w14:textId="77777777" w:rsidR="009B12CC" w:rsidRDefault="009B12CC" w:rsidP="00BC52E8">
            <w:pPr>
              <w:jc w:val="both"/>
            </w:pPr>
          </w:p>
          <w:p w14:paraId="71FC9065" w14:textId="77777777" w:rsidR="009B12CC" w:rsidRDefault="009B12CC" w:rsidP="00BC52E8">
            <w:pPr>
              <w:jc w:val="both"/>
            </w:pPr>
            <w:r>
              <w:t>Frais de réparation</w:t>
            </w:r>
          </w:p>
        </w:tc>
        <w:tc>
          <w:tcPr>
            <w:tcW w:w="1843" w:type="dxa"/>
          </w:tcPr>
          <w:p w14:paraId="535CCA12" w14:textId="77777777" w:rsidR="009B12CC" w:rsidRDefault="009B12CC" w:rsidP="00BC52E8">
            <w:pPr>
              <w:jc w:val="both"/>
            </w:pPr>
          </w:p>
          <w:p w14:paraId="013C742C" w14:textId="0DCF9283" w:rsidR="000C7029" w:rsidRDefault="000C7029" w:rsidP="00BC52E8">
            <w:pPr>
              <w:jc w:val="both"/>
            </w:pPr>
            <w:r>
              <w:t>25 000</w:t>
            </w:r>
          </w:p>
        </w:tc>
        <w:tc>
          <w:tcPr>
            <w:tcW w:w="1843" w:type="dxa"/>
          </w:tcPr>
          <w:p w14:paraId="4521EF84" w14:textId="77777777" w:rsidR="009B12CC" w:rsidRDefault="009B12CC" w:rsidP="00BC52E8">
            <w:pPr>
              <w:jc w:val="both"/>
            </w:pPr>
          </w:p>
          <w:p w14:paraId="7664C5FF" w14:textId="77777777" w:rsidR="000C7029" w:rsidRDefault="000C7029" w:rsidP="00BC52E8">
            <w:pPr>
              <w:jc w:val="both"/>
            </w:pPr>
          </w:p>
          <w:p w14:paraId="07416AAB" w14:textId="70A6721F" w:rsidR="000C7029" w:rsidRDefault="000C7029" w:rsidP="00BC52E8">
            <w:pPr>
              <w:jc w:val="both"/>
            </w:pPr>
            <w:r>
              <w:t>25 000</w:t>
            </w:r>
          </w:p>
        </w:tc>
      </w:tr>
      <w:tr w:rsidR="009B12CC" w14:paraId="69155AF4" w14:textId="77777777" w:rsidTr="00BC52E8">
        <w:tc>
          <w:tcPr>
            <w:tcW w:w="1590" w:type="dxa"/>
          </w:tcPr>
          <w:p w14:paraId="3CEEC106" w14:textId="77777777" w:rsidR="009B12CC" w:rsidRDefault="009B12CC" w:rsidP="00BC52E8">
            <w:pPr>
              <w:tabs>
                <w:tab w:val="left" w:pos="2016"/>
              </w:tabs>
              <w:jc w:val="both"/>
            </w:pPr>
          </w:p>
          <w:p w14:paraId="3E2F90E5" w14:textId="77777777" w:rsidR="000C7029" w:rsidRDefault="000C7029" w:rsidP="00BC52E8">
            <w:pPr>
              <w:tabs>
                <w:tab w:val="left" w:pos="2016"/>
              </w:tabs>
              <w:jc w:val="both"/>
            </w:pPr>
            <w:r>
              <w:t>1572</w:t>
            </w:r>
          </w:p>
          <w:p w14:paraId="2E6FC831" w14:textId="519D9E85" w:rsidR="000C7029" w:rsidRDefault="000C7029" w:rsidP="00BC52E8">
            <w:pPr>
              <w:tabs>
                <w:tab w:val="left" w:pos="2016"/>
              </w:tabs>
              <w:jc w:val="both"/>
            </w:pPr>
            <w:r>
              <w:t>781</w:t>
            </w:r>
          </w:p>
        </w:tc>
        <w:tc>
          <w:tcPr>
            <w:tcW w:w="4820" w:type="dxa"/>
          </w:tcPr>
          <w:p w14:paraId="115FBE72" w14:textId="77777777" w:rsidR="009B12CC" w:rsidRDefault="009B12CC" w:rsidP="00BC52E8">
            <w:pPr>
              <w:jc w:val="both"/>
            </w:pPr>
          </w:p>
          <w:p w14:paraId="2119C933" w14:textId="77777777" w:rsidR="009B12CC" w:rsidRDefault="009B12CC" w:rsidP="00BC52E8">
            <w:pPr>
              <w:jc w:val="both"/>
            </w:pPr>
          </w:p>
          <w:p w14:paraId="75485C53" w14:textId="77777777" w:rsidR="009B12CC" w:rsidRDefault="009B12CC" w:rsidP="00BC52E8">
            <w:pPr>
              <w:jc w:val="both"/>
            </w:pPr>
          </w:p>
          <w:p w14:paraId="740AE232" w14:textId="77777777" w:rsidR="009B12CC" w:rsidRDefault="009B12CC" w:rsidP="00BC52E8">
            <w:pPr>
              <w:jc w:val="both"/>
            </w:pPr>
            <w:r>
              <w:t xml:space="preserve">Reprise de la </w:t>
            </w:r>
            <w:proofErr w:type="spellStart"/>
            <w:r>
              <w:t>prov</w:t>
            </w:r>
            <w:proofErr w:type="spellEnd"/>
          </w:p>
        </w:tc>
        <w:tc>
          <w:tcPr>
            <w:tcW w:w="1843" w:type="dxa"/>
          </w:tcPr>
          <w:p w14:paraId="12F7C6EE" w14:textId="77777777" w:rsidR="009B12CC" w:rsidRDefault="009B12CC" w:rsidP="00BC52E8">
            <w:pPr>
              <w:jc w:val="both"/>
            </w:pPr>
          </w:p>
          <w:p w14:paraId="609496B7" w14:textId="2AA3AA89" w:rsidR="000C7029" w:rsidRDefault="000C7029" w:rsidP="00BC52E8">
            <w:pPr>
              <w:jc w:val="both"/>
            </w:pPr>
            <w:r>
              <w:t>20 000</w:t>
            </w:r>
          </w:p>
        </w:tc>
        <w:tc>
          <w:tcPr>
            <w:tcW w:w="1843" w:type="dxa"/>
          </w:tcPr>
          <w:p w14:paraId="0BB916DF" w14:textId="77777777" w:rsidR="009B12CC" w:rsidRDefault="009B12CC" w:rsidP="00BC52E8">
            <w:pPr>
              <w:jc w:val="both"/>
            </w:pPr>
          </w:p>
          <w:p w14:paraId="15BF8647" w14:textId="77777777" w:rsidR="000C7029" w:rsidRDefault="000C7029" w:rsidP="00BC52E8">
            <w:pPr>
              <w:jc w:val="both"/>
            </w:pPr>
          </w:p>
          <w:p w14:paraId="3F66E2BE" w14:textId="1C27ECED" w:rsidR="000C7029" w:rsidRDefault="000C7029" w:rsidP="00BC52E8">
            <w:pPr>
              <w:jc w:val="both"/>
            </w:pPr>
            <w:r>
              <w:t>20 000</w:t>
            </w:r>
          </w:p>
        </w:tc>
      </w:tr>
    </w:tbl>
    <w:p w14:paraId="734F2ADD" w14:textId="77777777" w:rsidR="009B12CC" w:rsidRDefault="009B12CC" w:rsidP="009B12CC">
      <w:pPr>
        <w:jc w:val="both"/>
      </w:pPr>
    </w:p>
    <w:p w14:paraId="3F2C5386" w14:textId="77777777" w:rsidR="009B12CC" w:rsidRDefault="009B12CC" w:rsidP="009B12CC">
      <w:pPr>
        <w:jc w:val="both"/>
      </w:pPr>
    </w:p>
    <w:p w14:paraId="228D239B" w14:textId="77777777" w:rsidR="009B12CC" w:rsidRDefault="009B12CC" w:rsidP="009B12CC">
      <w:r>
        <w:br w:type="page"/>
      </w:r>
    </w:p>
    <w:p w14:paraId="1B9BC8AD" w14:textId="77777777" w:rsidR="009B12CC" w:rsidRDefault="009B12CC" w:rsidP="009B12CC">
      <w:pPr>
        <w:jc w:val="both"/>
      </w:pPr>
    </w:p>
    <w:p w14:paraId="426E66BF" w14:textId="77777777" w:rsidR="009B12CC" w:rsidRDefault="009B12CC" w:rsidP="009B12CC">
      <w:pPr>
        <w:pStyle w:val="Paragraphedeliste"/>
        <w:numPr>
          <w:ilvl w:val="0"/>
          <w:numId w:val="14"/>
        </w:numPr>
        <w:jc w:val="both"/>
      </w:pPr>
      <w:r>
        <w:t>Comptabilisation en composant de seconde catégorie</w:t>
      </w:r>
    </w:p>
    <w:p w14:paraId="20687552" w14:textId="77777777" w:rsidR="009B12CC" w:rsidRDefault="009B12CC" w:rsidP="009B12CC">
      <w:pPr>
        <w:jc w:val="both"/>
      </w:pPr>
      <w:r>
        <w:t>Le gros entretien fait l’objet d’un enregistrement en composant et est amorti selon le mode linéaire ou non linéaire.</w:t>
      </w:r>
    </w:p>
    <w:p w14:paraId="62698CA6" w14:textId="77777777" w:rsidR="009B12CC" w:rsidRDefault="009B12CC" w:rsidP="009B12CC">
      <w:pPr>
        <w:jc w:val="both"/>
      </w:pPr>
    </w:p>
    <w:p w14:paraId="0645AF8C" w14:textId="77777777" w:rsidR="009B12CC" w:rsidRDefault="009B12CC" w:rsidP="009B12CC">
      <w:pPr>
        <w:pStyle w:val="Paragraphedeliste"/>
        <w:numPr>
          <w:ilvl w:val="0"/>
          <w:numId w:val="5"/>
        </w:numPr>
        <w:jc w:val="both"/>
      </w:pPr>
      <w:r>
        <w:t>A l’acquisition : la révision est enregistrée dans un sous compte</w:t>
      </w:r>
    </w:p>
    <w:p w14:paraId="3A6C4F46"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 xml:space="preserve">Ex : </w:t>
      </w:r>
      <w:r>
        <w:rPr>
          <w:sz w:val="22"/>
          <w:szCs w:val="22"/>
        </w:rPr>
        <w:t>Au début de l’année</w:t>
      </w:r>
      <w:r w:rsidRPr="009D08A3">
        <w:rPr>
          <w:sz w:val="22"/>
          <w:szCs w:val="22"/>
        </w:rPr>
        <w:t xml:space="preserve"> N, l’entité acquiert un local administratif pour un montant de 185 000€</w:t>
      </w:r>
      <w:r>
        <w:rPr>
          <w:sz w:val="22"/>
          <w:szCs w:val="22"/>
        </w:rPr>
        <w:t xml:space="preserve"> (durée d’amortissement = 30 ans)</w:t>
      </w:r>
      <w:r w:rsidRPr="009D08A3">
        <w:rPr>
          <w:sz w:val="22"/>
          <w:szCs w:val="22"/>
        </w:rPr>
        <w:t xml:space="preserve">. La toiture doit être révisée tous les </w:t>
      </w:r>
      <w:r>
        <w:rPr>
          <w:sz w:val="22"/>
          <w:szCs w:val="22"/>
        </w:rPr>
        <w:t>5</w:t>
      </w:r>
      <w:r w:rsidRPr="009D08A3">
        <w:rPr>
          <w:sz w:val="22"/>
          <w:szCs w:val="22"/>
        </w:rPr>
        <w:t xml:space="preserve"> ans. Les frais relatifs à cette révision s’élèvent à 25 000€</w:t>
      </w:r>
    </w:p>
    <w:p w14:paraId="6829F9DB"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9B12CC" w14:paraId="3C1EADB6" w14:textId="77777777" w:rsidTr="00BC52E8">
        <w:tc>
          <w:tcPr>
            <w:tcW w:w="1590" w:type="dxa"/>
          </w:tcPr>
          <w:p w14:paraId="2D634710" w14:textId="26D726BD" w:rsidR="009B12CC" w:rsidRDefault="009B12CC" w:rsidP="00BC52E8">
            <w:pPr>
              <w:tabs>
                <w:tab w:val="left" w:pos="2016"/>
              </w:tabs>
              <w:jc w:val="both"/>
            </w:pPr>
          </w:p>
          <w:p w14:paraId="26F5F302" w14:textId="08A607A2" w:rsidR="000C7029" w:rsidRDefault="000C7029" w:rsidP="00BC52E8">
            <w:pPr>
              <w:tabs>
                <w:tab w:val="left" w:pos="2016"/>
              </w:tabs>
              <w:jc w:val="both"/>
            </w:pPr>
            <w:r>
              <w:t>213-1</w:t>
            </w:r>
          </w:p>
          <w:p w14:paraId="647F8447" w14:textId="37F557C9" w:rsidR="000C7029" w:rsidRDefault="000C7029" w:rsidP="00BC52E8">
            <w:pPr>
              <w:tabs>
                <w:tab w:val="left" w:pos="2016"/>
              </w:tabs>
              <w:jc w:val="both"/>
            </w:pPr>
            <w:r>
              <w:t>213-2</w:t>
            </w:r>
          </w:p>
          <w:p w14:paraId="5A359222" w14:textId="5735CA3B" w:rsidR="000C7029" w:rsidRDefault="000C7029" w:rsidP="00BC52E8">
            <w:pPr>
              <w:tabs>
                <w:tab w:val="left" w:pos="2016"/>
              </w:tabs>
              <w:jc w:val="both"/>
            </w:pPr>
            <w:r>
              <w:t>404</w:t>
            </w:r>
          </w:p>
          <w:p w14:paraId="54A9F7FE" w14:textId="77777777" w:rsidR="009B12CC" w:rsidRDefault="009B12CC" w:rsidP="00BC52E8">
            <w:pPr>
              <w:tabs>
                <w:tab w:val="left" w:pos="2016"/>
              </w:tabs>
              <w:jc w:val="both"/>
            </w:pPr>
          </w:p>
          <w:p w14:paraId="179BBA8B" w14:textId="77777777" w:rsidR="009B12CC" w:rsidRDefault="009B12CC" w:rsidP="00BC52E8">
            <w:pPr>
              <w:tabs>
                <w:tab w:val="left" w:pos="2016"/>
              </w:tabs>
              <w:jc w:val="both"/>
            </w:pPr>
          </w:p>
          <w:p w14:paraId="4C503638" w14:textId="77777777" w:rsidR="009B12CC" w:rsidRDefault="009B12CC" w:rsidP="00BC52E8">
            <w:pPr>
              <w:tabs>
                <w:tab w:val="left" w:pos="2016"/>
              </w:tabs>
              <w:jc w:val="both"/>
            </w:pPr>
          </w:p>
        </w:tc>
        <w:tc>
          <w:tcPr>
            <w:tcW w:w="4820" w:type="dxa"/>
          </w:tcPr>
          <w:p w14:paraId="3C3CE660" w14:textId="77777777" w:rsidR="009B12CC" w:rsidRDefault="009B12CC" w:rsidP="00BC52E8">
            <w:pPr>
              <w:jc w:val="both"/>
            </w:pPr>
          </w:p>
          <w:p w14:paraId="075EB729" w14:textId="77777777" w:rsidR="009B12CC" w:rsidRDefault="009B12CC" w:rsidP="00BC52E8">
            <w:pPr>
              <w:jc w:val="both"/>
            </w:pPr>
          </w:p>
          <w:p w14:paraId="57A561E8" w14:textId="77777777" w:rsidR="009B12CC" w:rsidRDefault="009B12CC" w:rsidP="00BC52E8">
            <w:pPr>
              <w:jc w:val="both"/>
            </w:pPr>
          </w:p>
          <w:p w14:paraId="570362E2" w14:textId="77777777" w:rsidR="000C7029" w:rsidRDefault="000C7029" w:rsidP="00BC52E8">
            <w:pPr>
              <w:jc w:val="both"/>
            </w:pPr>
          </w:p>
          <w:p w14:paraId="7EA9DC17" w14:textId="6A8DA517" w:rsidR="009B12CC" w:rsidRDefault="009B12CC" w:rsidP="00BC52E8">
            <w:pPr>
              <w:jc w:val="both"/>
            </w:pPr>
            <w:r>
              <w:t>Acquisition : méthode des composants</w:t>
            </w:r>
          </w:p>
        </w:tc>
        <w:tc>
          <w:tcPr>
            <w:tcW w:w="1843" w:type="dxa"/>
          </w:tcPr>
          <w:p w14:paraId="7380B8A0" w14:textId="77777777" w:rsidR="009B12CC" w:rsidRDefault="009B12CC" w:rsidP="00BC52E8">
            <w:pPr>
              <w:jc w:val="both"/>
            </w:pPr>
          </w:p>
          <w:p w14:paraId="36F88585" w14:textId="77777777" w:rsidR="000C7029" w:rsidRDefault="000C7029" w:rsidP="00BC52E8">
            <w:pPr>
              <w:jc w:val="both"/>
            </w:pPr>
            <w:r>
              <w:t>160 000</w:t>
            </w:r>
          </w:p>
          <w:p w14:paraId="556D6440" w14:textId="393CBF8F" w:rsidR="000C7029" w:rsidRDefault="000C7029" w:rsidP="00BC52E8">
            <w:pPr>
              <w:jc w:val="both"/>
            </w:pPr>
            <w:r>
              <w:t>25 000</w:t>
            </w:r>
          </w:p>
        </w:tc>
        <w:tc>
          <w:tcPr>
            <w:tcW w:w="1843" w:type="dxa"/>
          </w:tcPr>
          <w:p w14:paraId="13E644B4" w14:textId="77777777" w:rsidR="009B12CC" w:rsidRDefault="009B12CC" w:rsidP="00BC52E8">
            <w:pPr>
              <w:jc w:val="both"/>
            </w:pPr>
          </w:p>
          <w:p w14:paraId="37D9F96D" w14:textId="77777777" w:rsidR="000C7029" w:rsidRDefault="000C7029" w:rsidP="00BC52E8">
            <w:pPr>
              <w:jc w:val="both"/>
            </w:pPr>
          </w:p>
          <w:p w14:paraId="552D0B12" w14:textId="77777777" w:rsidR="000C7029" w:rsidRDefault="000C7029" w:rsidP="00BC52E8">
            <w:pPr>
              <w:jc w:val="both"/>
            </w:pPr>
          </w:p>
          <w:p w14:paraId="60ABDBDE" w14:textId="2D1367BF" w:rsidR="000C7029" w:rsidRDefault="000C7029" w:rsidP="00BC52E8">
            <w:pPr>
              <w:jc w:val="both"/>
            </w:pPr>
            <w:r>
              <w:t>185 000</w:t>
            </w:r>
          </w:p>
        </w:tc>
      </w:tr>
    </w:tbl>
    <w:p w14:paraId="7FFB05B1" w14:textId="77777777" w:rsidR="009B12CC" w:rsidRDefault="009B12CC" w:rsidP="009B12CC">
      <w:pPr>
        <w:jc w:val="both"/>
      </w:pPr>
    </w:p>
    <w:p w14:paraId="5C164AB0" w14:textId="77777777" w:rsidR="009B12CC" w:rsidRDefault="009B12CC" w:rsidP="009B12CC">
      <w:pPr>
        <w:pStyle w:val="Paragraphedeliste"/>
        <w:numPr>
          <w:ilvl w:val="0"/>
          <w:numId w:val="5"/>
        </w:numPr>
        <w:jc w:val="both"/>
      </w:pPr>
      <w:r>
        <w:t>Dotation aux amortissements de chaque composant en fonction de sa durée</w:t>
      </w:r>
    </w:p>
    <w:tbl>
      <w:tblPr>
        <w:tblStyle w:val="Grilledutableau"/>
        <w:tblW w:w="10096" w:type="dxa"/>
        <w:tblLook w:val="04A0" w:firstRow="1" w:lastRow="0" w:firstColumn="1" w:lastColumn="0" w:noHBand="0" w:noVBand="1"/>
      </w:tblPr>
      <w:tblGrid>
        <w:gridCol w:w="1590"/>
        <w:gridCol w:w="4820"/>
        <w:gridCol w:w="1843"/>
        <w:gridCol w:w="1843"/>
      </w:tblGrid>
      <w:tr w:rsidR="009B12CC" w14:paraId="4D19C007" w14:textId="77777777" w:rsidTr="00BC52E8">
        <w:tc>
          <w:tcPr>
            <w:tcW w:w="1590" w:type="dxa"/>
          </w:tcPr>
          <w:p w14:paraId="5E3C37A6" w14:textId="77777777" w:rsidR="009B12CC" w:rsidRDefault="009B12CC" w:rsidP="00BC52E8">
            <w:pPr>
              <w:tabs>
                <w:tab w:val="left" w:pos="2016"/>
              </w:tabs>
              <w:jc w:val="both"/>
            </w:pPr>
          </w:p>
          <w:p w14:paraId="472FC2DB" w14:textId="6FF56CCB" w:rsidR="009B12CC" w:rsidRDefault="000C7029" w:rsidP="00BC52E8">
            <w:pPr>
              <w:tabs>
                <w:tab w:val="left" w:pos="2016"/>
              </w:tabs>
              <w:jc w:val="both"/>
            </w:pPr>
            <w:r>
              <w:t>6811</w:t>
            </w:r>
          </w:p>
          <w:p w14:paraId="355B918C" w14:textId="3C79F955" w:rsidR="000C7029" w:rsidRDefault="000C7029" w:rsidP="00BC52E8">
            <w:pPr>
              <w:tabs>
                <w:tab w:val="left" w:pos="2016"/>
              </w:tabs>
              <w:jc w:val="both"/>
            </w:pPr>
            <w:r>
              <w:t>2813-1</w:t>
            </w:r>
          </w:p>
          <w:p w14:paraId="2E5F06C6" w14:textId="67E202E4" w:rsidR="000C7029" w:rsidRDefault="000C7029" w:rsidP="00BC52E8">
            <w:pPr>
              <w:tabs>
                <w:tab w:val="left" w:pos="2016"/>
              </w:tabs>
              <w:jc w:val="both"/>
            </w:pPr>
            <w:r>
              <w:t>2813-2</w:t>
            </w:r>
          </w:p>
          <w:p w14:paraId="0E532673" w14:textId="77777777" w:rsidR="009B12CC" w:rsidRDefault="009B12CC" w:rsidP="00BC52E8">
            <w:pPr>
              <w:tabs>
                <w:tab w:val="left" w:pos="2016"/>
              </w:tabs>
              <w:jc w:val="both"/>
            </w:pPr>
          </w:p>
          <w:p w14:paraId="26F6C9EB" w14:textId="77777777" w:rsidR="009B12CC" w:rsidRDefault="009B12CC" w:rsidP="00BC52E8">
            <w:pPr>
              <w:tabs>
                <w:tab w:val="left" w:pos="2016"/>
              </w:tabs>
              <w:jc w:val="both"/>
            </w:pPr>
          </w:p>
        </w:tc>
        <w:tc>
          <w:tcPr>
            <w:tcW w:w="4820" w:type="dxa"/>
          </w:tcPr>
          <w:p w14:paraId="64AD026D" w14:textId="77777777" w:rsidR="009B12CC" w:rsidRDefault="009B12CC" w:rsidP="00BC52E8">
            <w:pPr>
              <w:jc w:val="both"/>
            </w:pPr>
          </w:p>
          <w:p w14:paraId="5C43096E" w14:textId="77777777" w:rsidR="009B12CC" w:rsidRDefault="009B12CC" w:rsidP="00BC52E8">
            <w:pPr>
              <w:jc w:val="both"/>
            </w:pPr>
          </w:p>
          <w:p w14:paraId="12CDA824" w14:textId="667DBBA7" w:rsidR="009B12CC" w:rsidRDefault="000C7029" w:rsidP="00BC52E8">
            <w:pPr>
              <w:jc w:val="both"/>
            </w:pPr>
            <w:r>
              <w:t>160 000/30</w:t>
            </w:r>
          </w:p>
          <w:p w14:paraId="0094DA3A" w14:textId="1DEB4EF6" w:rsidR="000C7029" w:rsidRDefault="000C7029" w:rsidP="00BC52E8">
            <w:pPr>
              <w:jc w:val="both"/>
            </w:pPr>
            <w:r>
              <w:t>25 000/5</w:t>
            </w:r>
          </w:p>
          <w:p w14:paraId="76B8251F" w14:textId="77777777" w:rsidR="009B12CC" w:rsidRDefault="009B12CC" w:rsidP="00BC52E8">
            <w:pPr>
              <w:jc w:val="both"/>
            </w:pPr>
          </w:p>
          <w:p w14:paraId="1175115F" w14:textId="77777777" w:rsidR="009B12CC" w:rsidRDefault="009B12CC" w:rsidP="00BC52E8">
            <w:pPr>
              <w:jc w:val="both"/>
            </w:pPr>
            <w:r>
              <w:t>Amortissement de l’</w:t>
            </w:r>
            <w:proofErr w:type="spellStart"/>
            <w:r>
              <w:t>immo</w:t>
            </w:r>
            <w:proofErr w:type="spellEnd"/>
          </w:p>
        </w:tc>
        <w:tc>
          <w:tcPr>
            <w:tcW w:w="1843" w:type="dxa"/>
          </w:tcPr>
          <w:p w14:paraId="340702AE" w14:textId="77777777" w:rsidR="009B12CC" w:rsidRDefault="009B12CC" w:rsidP="00BC52E8">
            <w:pPr>
              <w:jc w:val="both"/>
            </w:pPr>
          </w:p>
          <w:p w14:paraId="43C2EABD" w14:textId="0D3B7BA5" w:rsidR="000C7029" w:rsidRDefault="000C7029" w:rsidP="00BC52E8">
            <w:pPr>
              <w:jc w:val="both"/>
            </w:pPr>
            <w:r>
              <w:t>10 333</w:t>
            </w:r>
          </w:p>
          <w:p w14:paraId="53282DC5" w14:textId="0BFEA9C0" w:rsidR="000C7029" w:rsidRDefault="000C7029" w:rsidP="00BC52E8">
            <w:pPr>
              <w:jc w:val="both"/>
            </w:pPr>
          </w:p>
        </w:tc>
        <w:tc>
          <w:tcPr>
            <w:tcW w:w="1843" w:type="dxa"/>
          </w:tcPr>
          <w:p w14:paraId="471AEE27" w14:textId="77777777" w:rsidR="009B12CC" w:rsidRDefault="009B12CC" w:rsidP="00BC52E8">
            <w:pPr>
              <w:jc w:val="both"/>
            </w:pPr>
          </w:p>
          <w:p w14:paraId="010190AD" w14:textId="77777777" w:rsidR="000C7029" w:rsidRDefault="000C7029" w:rsidP="00BC52E8">
            <w:pPr>
              <w:jc w:val="both"/>
            </w:pPr>
          </w:p>
          <w:p w14:paraId="333A2E50" w14:textId="77777777" w:rsidR="000C7029" w:rsidRDefault="000C7029" w:rsidP="000C7029">
            <w:pPr>
              <w:jc w:val="both"/>
            </w:pPr>
            <w:r>
              <w:t>5 333</w:t>
            </w:r>
          </w:p>
          <w:p w14:paraId="4770CA9D" w14:textId="3D39DE5A" w:rsidR="000C7029" w:rsidRDefault="000C7029" w:rsidP="000C7029">
            <w:pPr>
              <w:jc w:val="both"/>
            </w:pPr>
            <w:r>
              <w:t xml:space="preserve">5 000 </w:t>
            </w:r>
          </w:p>
        </w:tc>
      </w:tr>
    </w:tbl>
    <w:p w14:paraId="6FE8A1F5" w14:textId="77777777" w:rsidR="009B12CC" w:rsidRDefault="009B12CC" w:rsidP="009B12CC">
      <w:pPr>
        <w:jc w:val="both"/>
      </w:pPr>
    </w:p>
    <w:p w14:paraId="4A9A36E7" w14:textId="77777777" w:rsidR="009B12CC" w:rsidRDefault="009B12CC" w:rsidP="009B12CC">
      <w:pPr>
        <w:jc w:val="both"/>
      </w:pPr>
    </w:p>
    <w:p w14:paraId="19392259" w14:textId="77777777" w:rsidR="009B12CC" w:rsidRPr="009D08A3" w:rsidRDefault="009B12CC" w:rsidP="009B12CC">
      <w:pPr>
        <w:jc w:val="both"/>
      </w:pPr>
    </w:p>
    <w:p w14:paraId="3FE76F6C" w14:textId="77777777" w:rsidR="009B12CC" w:rsidRPr="009D08A3" w:rsidRDefault="009B12CC" w:rsidP="009B12CC">
      <w:pPr>
        <w:pStyle w:val="Paragraphedeliste"/>
        <w:numPr>
          <w:ilvl w:val="0"/>
          <w:numId w:val="10"/>
        </w:numPr>
        <w:jc w:val="both"/>
        <w:rPr>
          <w:rFonts w:ascii="Avenir Next" w:hAnsi="Avenir Next"/>
          <w:sz w:val="28"/>
          <w:szCs w:val="28"/>
        </w:rPr>
      </w:pPr>
      <w:r w:rsidRPr="009D08A3">
        <w:rPr>
          <w:rFonts w:ascii="Avenir Next" w:hAnsi="Avenir Next"/>
          <w:sz w:val="28"/>
          <w:szCs w:val="28"/>
        </w:rPr>
        <w:t>La provision pour démantèlement</w:t>
      </w:r>
    </w:p>
    <w:p w14:paraId="2CAA59D4" w14:textId="77777777" w:rsidR="009B12CC" w:rsidRDefault="009B12CC" w:rsidP="009B12CC">
      <w:pPr>
        <w:jc w:val="both"/>
      </w:pPr>
      <w:r>
        <w:t>Les frais de démantèlement ou de remise en état du site s’ils sont prévus dès l’entrée dans le patrimoine de l’actif, entre dans le coût d’acquisition de l’immobilisation. En contrepartie, une provision pour frais de démantèlement est enregistrée au passif</w:t>
      </w:r>
    </w:p>
    <w:p w14:paraId="1E44DA75" w14:textId="77777777" w:rsidR="009B12CC" w:rsidRPr="009D08A3" w:rsidRDefault="009B12CC" w:rsidP="009B12CC">
      <w:pPr>
        <w:jc w:val="both"/>
      </w:pPr>
    </w:p>
    <w:p w14:paraId="527D7612"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 xml:space="preserve">Ex : L’entreprise </w:t>
      </w:r>
      <w:r>
        <w:rPr>
          <w:sz w:val="22"/>
          <w:szCs w:val="22"/>
        </w:rPr>
        <w:t>a acquis un</w:t>
      </w:r>
      <w:r w:rsidRPr="009D08A3">
        <w:rPr>
          <w:sz w:val="22"/>
          <w:szCs w:val="22"/>
        </w:rPr>
        <w:t xml:space="preserve"> siège social : les coûts sont les suivants</w:t>
      </w:r>
    </w:p>
    <w:p w14:paraId="322779E4"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Pr>
          <w:sz w:val="22"/>
          <w:szCs w:val="22"/>
        </w:rPr>
        <w:t>Prix d’acquisition</w:t>
      </w:r>
      <w:r w:rsidRPr="009D08A3">
        <w:rPr>
          <w:sz w:val="22"/>
          <w:szCs w:val="22"/>
        </w:rPr>
        <w:t xml:space="preserve"> : </w:t>
      </w:r>
      <w:r>
        <w:rPr>
          <w:sz w:val="22"/>
          <w:szCs w:val="22"/>
        </w:rPr>
        <w:t>200</w:t>
      </w:r>
      <w:r w:rsidRPr="009D08A3">
        <w:rPr>
          <w:sz w:val="22"/>
          <w:szCs w:val="22"/>
        </w:rPr>
        <w:t xml:space="preserve"> 000€ </w:t>
      </w:r>
    </w:p>
    <w:p w14:paraId="2F7BE224" w14:textId="77777777" w:rsidR="009B12CC" w:rsidRPr="009D08A3"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Pr>
          <w:sz w:val="22"/>
          <w:szCs w:val="22"/>
        </w:rPr>
        <w:t xml:space="preserve">Honoraires du notaire </w:t>
      </w:r>
      <w:r w:rsidRPr="009D08A3">
        <w:rPr>
          <w:sz w:val="22"/>
          <w:szCs w:val="22"/>
        </w:rPr>
        <w:t xml:space="preserve">: </w:t>
      </w:r>
      <w:r>
        <w:rPr>
          <w:sz w:val="22"/>
          <w:szCs w:val="22"/>
        </w:rPr>
        <w:t>35</w:t>
      </w:r>
      <w:r w:rsidRPr="009D08A3">
        <w:rPr>
          <w:sz w:val="22"/>
          <w:szCs w:val="22"/>
        </w:rPr>
        <w:t xml:space="preserve"> 000€</w:t>
      </w:r>
      <w:r>
        <w:rPr>
          <w:sz w:val="22"/>
          <w:szCs w:val="22"/>
        </w:rPr>
        <w:t xml:space="preserve"> HT</w:t>
      </w:r>
    </w:p>
    <w:p w14:paraId="3E9F4F67" w14:textId="380E4D59" w:rsidR="009B12CC" w:rsidRDefault="009B12CC"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sidRPr="009D08A3">
        <w:rPr>
          <w:sz w:val="22"/>
          <w:szCs w:val="22"/>
        </w:rPr>
        <w:t xml:space="preserve">Frais de remise en état du site : 20 000€ </w:t>
      </w:r>
    </w:p>
    <w:p w14:paraId="17BA2EDE" w14:textId="04C4A510" w:rsidR="000C7029" w:rsidRPr="009D08A3" w:rsidRDefault="000C7029" w:rsidP="009B12CC">
      <w:pPr>
        <w:pBdr>
          <w:top w:val="single" w:sz="4" w:space="1" w:color="auto"/>
          <w:left w:val="single" w:sz="4" w:space="4" w:color="auto"/>
          <w:bottom w:val="single" w:sz="4" w:space="1" w:color="auto"/>
          <w:right w:val="single" w:sz="4" w:space="4" w:color="auto"/>
        </w:pBdr>
        <w:shd w:val="clear" w:color="auto" w:fill="E7E6E6" w:themeFill="background2"/>
        <w:jc w:val="both"/>
        <w:rPr>
          <w:sz w:val="22"/>
          <w:szCs w:val="22"/>
        </w:rPr>
      </w:pPr>
      <w:r>
        <w:rPr>
          <w:sz w:val="22"/>
          <w:szCs w:val="22"/>
        </w:rPr>
        <w:t>L’entreprise a opté pour inclure les frais sur option dans le cout d’acquisition</w:t>
      </w:r>
    </w:p>
    <w:p w14:paraId="00B5F179" w14:textId="77777777" w:rsidR="009B12CC" w:rsidRDefault="009B12CC" w:rsidP="009B12CC">
      <w:pPr>
        <w:jc w:val="both"/>
      </w:pPr>
    </w:p>
    <w:tbl>
      <w:tblPr>
        <w:tblStyle w:val="Grilledutableau"/>
        <w:tblW w:w="10096" w:type="dxa"/>
        <w:tblLook w:val="04A0" w:firstRow="1" w:lastRow="0" w:firstColumn="1" w:lastColumn="0" w:noHBand="0" w:noVBand="1"/>
      </w:tblPr>
      <w:tblGrid>
        <w:gridCol w:w="1590"/>
        <w:gridCol w:w="4820"/>
        <w:gridCol w:w="1843"/>
        <w:gridCol w:w="1843"/>
      </w:tblGrid>
      <w:tr w:rsidR="009B12CC" w14:paraId="014A19F9" w14:textId="77777777" w:rsidTr="00BC52E8">
        <w:tc>
          <w:tcPr>
            <w:tcW w:w="1590" w:type="dxa"/>
          </w:tcPr>
          <w:p w14:paraId="5EFD5445" w14:textId="77777777" w:rsidR="009B12CC" w:rsidRDefault="009B12CC" w:rsidP="00BC52E8">
            <w:pPr>
              <w:tabs>
                <w:tab w:val="left" w:pos="2016"/>
              </w:tabs>
              <w:jc w:val="both"/>
            </w:pPr>
          </w:p>
          <w:p w14:paraId="3796C671" w14:textId="7F213BF7" w:rsidR="009B12CC" w:rsidRDefault="000C7029" w:rsidP="00BC52E8">
            <w:pPr>
              <w:tabs>
                <w:tab w:val="left" w:pos="2016"/>
              </w:tabs>
              <w:jc w:val="both"/>
            </w:pPr>
            <w:r>
              <w:t>213</w:t>
            </w:r>
          </w:p>
          <w:p w14:paraId="39067196" w14:textId="45F4DBBE" w:rsidR="000C7029" w:rsidRDefault="000C7029" w:rsidP="00BC52E8">
            <w:pPr>
              <w:tabs>
                <w:tab w:val="left" w:pos="2016"/>
              </w:tabs>
              <w:jc w:val="both"/>
            </w:pPr>
            <w:r>
              <w:t>404</w:t>
            </w:r>
          </w:p>
          <w:p w14:paraId="5D9EDF50" w14:textId="7CAE0493" w:rsidR="000C7029" w:rsidRDefault="000C7029" w:rsidP="00BC52E8">
            <w:pPr>
              <w:tabs>
                <w:tab w:val="left" w:pos="2016"/>
              </w:tabs>
              <w:jc w:val="both"/>
            </w:pPr>
            <w:r>
              <w:t>1581</w:t>
            </w:r>
          </w:p>
          <w:p w14:paraId="17ABE21E" w14:textId="77777777" w:rsidR="000C7029" w:rsidRDefault="000C7029" w:rsidP="00BC52E8">
            <w:pPr>
              <w:tabs>
                <w:tab w:val="left" w:pos="2016"/>
              </w:tabs>
              <w:jc w:val="both"/>
            </w:pPr>
          </w:p>
          <w:p w14:paraId="2E47A728" w14:textId="77777777" w:rsidR="009B12CC" w:rsidRDefault="009B12CC" w:rsidP="00BC52E8">
            <w:pPr>
              <w:tabs>
                <w:tab w:val="left" w:pos="2016"/>
              </w:tabs>
              <w:jc w:val="both"/>
            </w:pPr>
          </w:p>
          <w:p w14:paraId="0DE475A9" w14:textId="77777777" w:rsidR="009B12CC" w:rsidRDefault="009B12CC" w:rsidP="00BC52E8">
            <w:pPr>
              <w:tabs>
                <w:tab w:val="left" w:pos="2016"/>
              </w:tabs>
              <w:jc w:val="both"/>
            </w:pPr>
          </w:p>
        </w:tc>
        <w:tc>
          <w:tcPr>
            <w:tcW w:w="4820" w:type="dxa"/>
          </w:tcPr>
          <w:p w14:paraId="10829CDA" w14:textId="77777777" w:rsidR="009B12CC" w:rsidRDefault="009B12CC" w:rsidP="00BC52E8">
            <w:pPr>
              <w:jc w:val="both"/>
            </w:pPr>
          </w:p>
          <w:p w14:paraId="7DC82378" w14:textId="37FED317" w:rsidR="009B12CC" w:rsidRDefault="000C7029" w:rsidP="00BC52E8">
            <w:pPr>
              <w:jc w:val="both"/>
            </w:pPr>
            <w:r>
              <w:t>200 000 + 35 000 + 20 000</w:t>
            </w:r>
          </w:p>
          <w:p w14:paraId="219E0352" w14:textId="6393CBD0" w:rsidR="000C7029" w:rsidRDefault="000C7029" w:rsidP="00BC52E8">
            <w:pPr>
              <w:jc w:val="both"/>
            </w:pPr>
            <w:r>
              <w:t xml:space="preserve">   200 000 + 35 000</w:t>
            </w:r>
          </w:p>
          <w:p w14:paraId="0205AF5A" w14:textId="77777777" w:rsidR="009B12CC" w:rsidRDefault="009B12CC" w:rsidP="00BC52E8">
            <w:pPr>
              <w:jc w:val="both"/>
            </w:pPr>
          </w:p>
          <w:p w14:paraId="2F24D3CE" w14:textId="77777777" w:rsidR="009B12CC" w:rsidRDefault="009B12CC" w:rsidP="00BC52E8">
            <w:pPr>
              <w:jc w:val="both"/>
            </w:pPr>
          </w:p>
          <w:p w14:paraId="32DE63F3" w14:textId="77777777" w:rsidR="009B12CC" w:rsidRDefault="009B12CC" w:rsidP="00BC52E8">
            <w:pPr>
              <w:jc w:val="both"/>
            </w:pPr>
            <w:r>
              <w:t>Acquisition du bien</w:t>
            </w:r>
          </w:p>
        </w:tc>
        <w:tc>
          <w:tcPr>
            <w:tcW w:w="1843" w:type="dxa"/>
          </w:tcPr>
          <w:p w14:paraId="02EA2195" w14:textId="77777777" w:rsidR="009B12CC" w:rsidRDefault="009B12CC" w:rsidP="00BC52E8">
            <w:pPr>
              <w:jc w:val="both"/>
            </w:pPr>
          </w:p>
          <w:p w14:paraId="18AD3127" w14:textId="6F1BA75E" w:rsidR="000C7029" w:rsidRDefault="000C7029" w:rsidP="00BC52E8">
            <w:pPr>
              <w:jc w:val="both"/>
            </w:pPr>
            <w:r>
              <w:t>255 000</w:t>
            </w:r>
          </w:p>
        </w:tc>
        <w:tc>
          <w:tcPr>
            <w:tcW w:w="1843" w:type="dxa"/>
          </w:tcPr>
          <w:p w14:paraId="346822CB" w14:textId="77777777" w:rsidR="009B12CC" w:rsidRDefault="009B12CC" w:rsidP="00BC52E8">
            <w:pPr>
              <w:jc w:val="both"/>
            </w:pPr>
          </w:p>
          <w:p w14:paraId="4BCDA577" w14:textId="77777777" w:rsidR="000C7029" w:rsidRDefault="000C7029" w:rsidP="00BC52E8">
            <w:pPr>
              <w:jc w:val="both"/>
            </w:pPr>
          </w:p>
          <w:p w14:paraId="1BCABAB6" w14:textId="77777777" w:rsidR="000C7029" w:rsidRDefault="000C7029" w:rsidP="00BC52E8">
            <w:pPr>
              <w:jc w:val="both"/>
            </w:pPr>
            <w:r>
              <w:t>235 000</w:t>
            </w:r>
          </w:p>
          <w:p w14:paraId="474370C5" w14:textId="7E610D08" w:rsidR="000C7029" w:rsidRDefault="000C7029" w:rsidP="00E00D08">
            <w:pPr>
              <w:pStyle w:val="Paragraphedeliste"/>
              <w:numPr>
                <w:ilvl w:val="0"/>
                <w:numId w:val="22"/>
              </w:numPr>
              <w:jc w:val="both"/>
            </w:pPr>
            <w:r>
              <w:t>00</w:t>
            </w:r>
          </w:p>
        </w:tc>
      </w:tr>
    </w:tbl>
    <w:p w14:paraId="12D32839" w14:textId="77777777" w:rsidR="009B12CC" w:rsidRDefault="009B12CC" w:rsidP="009B12CC">
      <w:pPr>
        <w:jc w:val="both"/>
      </w:pPr>
    </w:p>
    <w:p w14:paraId="034D95D3" w14:textId="5F1F557C" w:rsidR="009B12CC" w:rsidRPr="00E00D08" w:rsidRDefault="009B12CC" w:rsidP="00E00D08">
      <w:pPr>
        <w:pStyle w:val="Paragraphedeliste"/>
        <w:numPr>
          <w:ilvl w:val="0"/>
          <w:numId w:val="1"/>
        </w:numPr>
        <w:jc w:val="both"/>
        <w:rPr>
          <w:rFonts w:ascii="Andale Mono" w:hAnsi="Andale Mono"/>
          <w:sz w:val="28"/>
          <w:szCs w:val="28"/>
        </w:rPr>
      </w:pPr>
      <w:r w:rsidRPr="00823CFB">
        <w:rPr>
          <w:rFonts w:ascii="Andale Mono" w:hAnsi="Andale Mono"/>
          <w:sz w:val="28"/>
          <w:szCs w:val="28"/>
        </w:rPr>
        <w:lastRenderedPageBreak/>
        <w:t>Provision réglementées</w:t>
      </w:r>
      <w:r w:rsidR="000C7029">
        <w:rPr>
          <w:rFonts w:ascii="Andale Mono" w:hAnsi="Andale Mono"/>
          <w:sz w:val="28"/>
          <w:szCs w:val="28"/>
        </w:rPr>
        <w:t xml:space="preserve"> (compte 14)</w:t>
      </w:r>
      <w:r w:rsidR="00E00D08">
        <w:rPr>
          <w:rFonts w:ascii="Andale Mono" w:hAnsi="Andale Mono"/>
          <w:sz w:val="28"/>
          <w:szCs w:val="28"/>
        </w:rPr>
        <w:t xml:space="preserve"> : </w:t>
      </w:r>
      <w:r w:rsidRPr="00E00D08">
        <w:rPr>
          <w:rFonts w:ascii="Avenir Next" w:hAnsi="Avenir Next"/>
          <w:sz w:val="28"/>
          <w:szCs w:val="28"/>
        </w:rPr>
        <w:t>La provision pour Hausse des Prix (PHP)</w:t>
      </w:r>
    </w:p>
    <w:p w14:paraId="5279603F" w14:textId="77777777" w:rsidR="009B12CC" w:rsidRDefault="009B12CC" w:rsidP="009B12CC">
      <w:pPr>
        <w:pStyle w:val="Paragraphedeliste"/>
        <w:numPr>
          <w:ilvl w:val="0"/>
          <w:numId w:val="16"/>
        </w:numPr>
        <w:jc w:val="both"/>
      </w:pPr>
      <w:r>
        <w:t>Définition</w:t>
      </w:r>
    </w:p>
    <w:p w14:paraId="156E2B41" w14:textId="77777777" w:rsidR="009B12CC" w:rsidRDefault="009B12CC" w:rsidP="009B12CC">
      <w:pPr>
        <w:jc w:val="both"/>
      </w:pPr>
      <w:r>
        <w:t>Elle facilite le renouvellement des stocks lors de la période d’inflation. En effet, l’augmentation de la valeur des stocks augmente de manière artificielle le montant du bénéfice imposable (via la variation de stocks). Le mécanisme de provision permet de réduire cet effet.</w:t>
      </w:r>
    </w:p>
    <w:p w14:paraId="3E7E2957" w14:textId="77777777" w:rsidR="009B12CC" w:rsidRDefault="009B12CC" w:rsidP="009B12CC">
      <w:pPr>
        <w:jc w:val="both"/>
      </w:pPr>
      <w:r>
        <w:t>La provision n’est pas soumise à l’obligation de permanence des méthodes. L’entreprise peut donc abandonner la PHP quand elle le souhaite</w:t>
      </w:r>
    </w:p>
    <w:p w14:paraId="0904C873" w14:textId="77777777" w:rsidR="009B12CC" w:rsidRDefault="009B12CC" w:rsidP="009B12CC">
      <w:pPr>
        <w:jc w:val="both"/>
      </w:pPr>
    </w:p>
    <w:p w14:paraId="178A8F17" w14:textId="77777777" w:rsidR="009B12CC" w:rsidRDefault="009B12CC" w:rsidP="009B12CC">
      <w:pPr>
        <w:jc w:val="both"/>
      </w:pPr>
      <w:r>
        <w:t>La PHP peut être pratiquée sur toute marchandise ou matière acquis par l’entreprise.</w:t>
      </w:r>
    </w:p>
    <w:p w14:paraId="39A01862" w14:textId="77777777" w:rsidR="009B12CC" w:rsidRDefault="009B12CC" w:rsidP="009B12CC">
      <w:pPr>
        <w:jc w:val="both"/>
      </w:pPr>
    </w:p>
    <w:p w14:paraId="4DD435D4" w14:textId="77777777" w:rsidR="009B12CC" w:rsidRDefault="009B12CC" w:rsidP="009B12CC">
      <w:pPr>
        <w:pStyle w:val="Paragraphedeliste"/>
        <w:numPr>
          <w:ilvl w:val="0"/>
          <w:numId w:val="16"/>
        </w:numPr>
        <w:jc w:val="both"/>
      </w:pPr>
      <w:r>
        <w:t>Condition</w:t>
      </w:r>
    </w:p>
    <w:p w14:paraId="6121D1C4" w14:textId="77777777" w:rsidR="009B12CC" w:rsidRDefault="009B12CC" w:rsidP="009B12CC">
      <w:pPr>
        <w:jc w:val="both"/>
      </w:pPr>
      <w:r>
        <w:t>Remarque : le montant de la provision est plafonné à 15 millions d’euros</w:t>
      </w:r>
    </w:p>
    <w:p w14:paraId="69793E8B" w14:textId="77777777" w:rsidR="009B12CC" w:rsidRDefault="009B12CC" w:rsidP="009B12CC">
      <w:pPr>
        <w:jc w:val="both"/>
      </w:pPr>
      <w:r>
        <w:t>La provision doit être reprise dans les 6 ans</w:t>
      </w:r>
    </w:p>
    <w:p w14:paraId="6B613B60" w14:textId="77777777" w:rsidR="009B12CC" w:rsidRPr="009172E0" w:rsidRDefault="009B12CC" w:rsidP="009B12CC">
      <w:pPr>
        <w:jc w:val="both"/>
      </w:pPr>
    </w:p>
    <w:p w14:paraId="0C2FCCC3" w14:textId="77777777" w:rsidR="009B12CC" w:rsidRPr="00823CFB" w:rsidRDefault="009B12CC" w:rsidP="009B12CC">
      <w:pPr>
        <w:pStyle w:val="Paragraphedeliste"/>
        <w:numPr>
          <w:ilvl w:val="0"/>
          <w:numId w:val="16"/>
        </w:numPr>
        <w:jc w:val="both"/>
      </w:pPr>
      <w:r w:rsidRPr="00823CFB">
        <w:t>Traitement comptable</w:t>
      </w:r>
    </w:p>
    <w:p w14:paraId="20CF041F" w14:textId="77777777" w:rsidR="009B12CC" w:rsidRDefault="009B12CC" w:rsidP="009B12CC">
      <w:r>
        <w:t>Dotation</w:t>
      </w:r>
    </w:p>
    <w:p w14:paraId="40DDE457" w14:textId="77777777" w:rsidR="009B12CC" w:rsidRDefault="009B12CC" w:rsidP="009B12CC"/>
    <w:tbl>
      <w:tblPr>
        <w:tblStyle w:val="Grilledutableau"/>
        <w:tblW w:w="10096" w:type="dxa"/>
        <w:tblLook w:val="04A0" w:firstRow="1" w:lastRow="0" w:firstColumn="1" w:lastColumn="0" w:noHBand="0" w:noVBand="1"/>
      </w:tblPr>
      <w:tblGrid>
        <w:gridCol w:w="1590"/>
        <w:gridCol w:w="4820"/>
        <w:gridCol w:w="1843"/>
        <w:gridCol w:w="1843"/>
      </w:tblGrid>
      <w:tr w:rsidR="000C7029" w14:paraId="6A54066C" w14:textId="77777777" w:rsidTr="00BC52E8">
        <w:tc>
          <w:tcPr>
            <w:tcW w:w="1590" w:type="dxa"/>
          </w:tcPr>
          <w:p w14:paraId="02732225" w14:textId="77777777" w:rsidR="000C7029" w:rsidRDefault="000C7029" w:rsidP="00BC52E8">
            <w:pPr>
              <w:tabs>
                <w:tab w:val="left" w:pos="2016"/>
              </w:tabs>
              <w:jc w:val="both"/>
            </w:pPr>
          </w:p>
          <w:p w14:paraId="7F3E7474" w14:textId="77777777" w:rsidR="000C7029" w:rsidRDefault="000C7029" w:rsidP="00BC52E8">
            <w:pPr>
              <w:tabs>
                <w:tab w:val="left" w:pos="2016"/>
              </w:tabs>
              <w:jc w:val="both"/>
            </w:pPr>
            <w:r>
              <w:t>687</w:t>
            </w:r>
          </w:p>
          <w:p w14:paraId="2760447F" w14:textId="05C1DD80" w:rsidR="000C7029" w:rsidRDefault="000C7029" w:rsidP="00BC52E8">
            <w:pPr>
              <w:tabs>
                <w:tab w:val="left" w:pos="2016"/>
              </w:tabs>
              <w:jc w:val="both"/>
            </w:pPr>
            <w:r>
              <w:t>143</w:t>
            </w:r>
          </w:p>
        </w:tc>
        <w:tc>
          <w:tcPr>
            <w:tcW w:w="4820" w:type="dxa"/>
          </w:tcPr>
          <w:p w14:paraId="33308EEF" w14:textId="77777777" w:rsidR="000C7029" w:rsidRDefault="000C7029" w:rsidP="00BC52E8">
            <w:pPr>
              <w:jc w:val="both"/>
            </w:pPr>
          </w:p>
        </w:tc>
        <w:tc>
          <w:tcPr>
            <w:tcW w:w="1843" w:type="dxa"/>
          </w:tcPr>
          <w:p w14:paraId="3A728026" w14:textId="77777777" w:rsidR="000C7029" w:rsidRDefault="000C7029" w:rsidP="00BC52E8">
            <w:pPr>
              <w:jc w:val="both"/>
            </w:pPr>
          </w:p>
          <w:p w14:paraId="68E835A6" w14:textId="0CFC61B7" w:rsidR="000C7029" w:rsidRDefault="000C7029" w:rsidP="00BC52E8">
            <w:pPr>
              <w:jc w:val="both"/>
            </w:pPr>
            <w:r>
              <w:t>Dotation</w:t>
            </w:r>
          </w:p>
        </w:tc>
        <w:tc>
          <w:tcPr>
            <w:tcW w:w="1843" w:type="dxa"/>
          </w:tcPr>
          <w:p w14:paraId="51FBB67C" w14:textId="77777777" w:rsidR="000C7029" w:rsidRDefault="000C7029" w:rsidP="00BC52E8">
            <w:pPr>
              <w:jc w:val="both"/>
            </w:pPr>
          </w:p>
          <w:p w14:paraId="20C2118C" w14:textId="77777777" w:rsidR="000C7029" w:rsidRDefault="000C7029" w:rsidP="00BC52E8">
            <w:pPr>
              <w:jc w:val="both"/>
            </w:pPr>
          </w:p>
          <w:p w14:paraId="2F5EFE71" w14:textId="7BF00B54" w:rsidR="000C7029" w:rsidRDefault="000C7029" w:rsidP="00BC52E8">
            <w:pPr>
              <w:jc w:val="both"/>
            </w:pPr>
            <w:r>
              <w:t>Dotation</w:t>
            </w:r>
          </w:p>
        </w:tc>
      </w:tr>
    </w:tbl>
    <w:p w14:paraId="28D1813C" w14:textId="77777777" w:rsidR="009B12CC" w:rsidRDefault="009B12CC" w:rsidP="009B12CC"/>
    <w:p w14:paraId="08579F83" w14:textId="77777777" w:rsidR="009B12CC" w:rsidRDefault="009B12CC" w:rsidP="009B12CC">
      <w:r>
        <w:t>Reprise</w:t>
      </w:r>
    </w:p>
    <w:tbl>
      <w:tblPr>
        <w:tblStyle w:val="Grilledutableau"/>
        <w:tblW w:w="10096" w:type="dxa"/>
        <w:tblLook w:val="04A0" w:firstRow="1" w:lastRow="0" w:firstColumn="1" w:lastColumn="0" w:noHBand="0" w:noVBand="1"/>
      </w:tblPr>
      <w:tblGrid>
        <w:gridCol w:w="1590"/>
        <w:gridCol w:w="4820"/>
        <w:gridCol w:w="1843"/>
        <w:gridCol w:w="1843"/>
      </w:tblGrid>
      <w:tr w:rsidR="000C7029" w14:paraId="48FD0067" w14:textId="77777777" w:rsidTr="00BC52E8">
        <w:tc>
          <w:tcPr>
            <w:tcW w:w="1590" w:type="dxa"/>
          </w:tcPr>
          <w:p w14:paraId="29DDF0FB" w14:textId="09D85871" w:rsidR="000C7029" w:rsidRDefault="000C7029" w:rsidP="00BC52E8">
            <w:pPr>
              <w:tabs>
                <w:tab w:val="left" w:pos="2016"/>
              </w:tabs>
              <w:jc w:val="both"/>
            </w:pPr>
          </w:p>
          <w:p w14:paraId="4BC598BA" w14:textId="1B2276EE" w:rsidR="000C7029" w:rsidRDefault="000C7029" w:rsidP="00BC52E8">
            <w:pPr>
              <w:tabs>
                <w:tab w:val="left" w:pos="2016"/>
              </w:tabs>
              <w:jc w:val="both"/>
            </w:pPr>
            <w:r>
              <w:t>143</w:t>
            </w:r>
          </w:p>
          <w:p w14:paraId="14394C20" w14:textId="61529329" w:rsidR="000C7029" w:rsidRDefault="000C7029" w:rsidP="00BC52E8">
            <w:pPr>
              <w:tabs>
                <w:tab w:val="left" w:pos="2016"/>
              </w:tabs>
              <w:jc w:val="both"/>
            </w:pPr>
            <w:r>
              <w:t>787</w:t>
            </w:r>
          </w:p>
          <w:p w14:paraId="4272A96C" w14:textId="77777777" w:rsidR="000C7029" w:rsidRDefault="000C7029" w:rsidP="00BC52E8">
            <w:pPr>
              <w:tabs>
                <w:tab w:val="left" w:pos="2016"/>
              </w:tabs>
              <w:jc w:val="both"/>
            </w:pPr>
          </w:p>
        </w:tc>
        <w:tc>
          <w:tcPr>
            <w:tcW w:w="4820" w:type="dxa"/>
          </w:tcPr>
          <w:p w14:paraId="43DA5EB7" w14:textId="5A9BE966" w:rsidR="000C7029" w:rsidRDefault="000C7029" w:rsidP="000C7029">
            <w:pPr>
              <w:jc w:val="center"/>
            </w:pPr>
            <w:r>
              <w:t>N+6</w:t>
            </w:r>
          </w:p>
        </w:tc>
        <w:tc>
          <w:tcPr>
            <w:tcW w:w="1843" w:type="dxa"/>
          </w:tcPr>
          <w:p w14:paraId="500E6FBE" w14:textId="77777777" w:rsidR="000C7029" w:rsidRDefault="000C7029" w:rsidP="00BC52E8">
            <w:pPr>
              <w:jc w:val="both"/>
            </w:pPr>
          </w:p>
          <w:p w14:paraId="2B705B16" w14:textId="5E004D26" w:rsidR="000C7029" w:rsidRDefault="000C7029" w:rsidP="00BC52E8">
            <w:pPr>
              <w:jc w:val="both"/>
            </w:pPr>
            <w:proofErr w:type="gramStart"/>
            <w:r>
              <w:t>reprise</w:t>
            </w:r>
            <w:proofErr w:type="gramEnd"/>
          </w:p>
        </w:tc>
        <w:tc>
          <w:tcPr>
            <w:tcW w:w="1843" w:type="dxa"/>
          </w:tcPr>
          <w:p w14:paraId="2CFB0FB5" w14:textId="77777777" w:rsidR="000C7029" w:rsidRDefault="000C7029" w:rsidP="00BC52E8">
            <w:pPr>
              <w:jc w:val="both"/>
            </w:pPr>
          </w:p>
          <w:p w14:paraId="428643C3" w14:textId="77777777" w:rsidR="000C7029" w:rsidRDefault="000C7029" w:rsidP="00BC52E8">
            <w:pPr>
              <w:jc w:val="both"/>
            </w:pPr>
          </w:p>
          <w:p w14:paraId="10633536" w14:textId="60B90BF4" w:rsidR="000C7029" w:rsidRDefault="000C7029" w:rsidP="00BC52E8">
            <w:pPr>
              <w:jc w:val="both"/>
            </w:pPr>
            <w:proofErr w:type="gramStart"/>
            <w:r>
              <w:t>reprise</w:t>
            </w:r>
            <w:proofErr w:type="gramEnd"/>
          </w:p>
        </w:tc>
      </w:tr>
    </w:tbl>
    <w:p w14:paraId="248F075C" w14:textId="77777777" w:rsidR="009B12CC" w:rsidRPr="009172E0" w:rsidRDefault="009B12CC" w:rsidP="009B12CC"/>
    <w:p w14:paraId="1E1A12B1" w14:textId="77777777" w:rsidR="009B12CC" w:rsidRDefault="009B12CC" w:rsidP="009B12CC">
      <w:pPr>
        <w:pStyle w:val="Paragraphedeliste"/>
        <w:numPr>
          <w:ilvl w:val="0"/>
          <w:numId w:val="16"/>
        </w:numPr>
      </w:pPr>
      <w:r>
        <w:t>Incidence sur les documents de synthèse</w:t>
      </w:r>
    </w:p>
    <w:p w14:paraId="694BC19A" w14:textId="77777777" w:rsidR="009B12CC" w:rsidRDefault="009B12CC" w:rsidP="009B12CC">
      <w:r>
        <w:t>Sur le CR</w:t>
      </w:r>
    </w:p>
    <w:p w14:paraId="685A304A" w14:textId="2AE0D6EF" w:rsidR="009B12CC" w:rsidRDefault="000C7029" w:rsidP="000C7029">
      <w:pPr>
        <w:pStyle w:val="Paragraphedeliste"/>
        <w:numPr>
          <w:ilvl w:val="0"/>
          <w:numId w:val="5"/>
        </w:numPr>
      </w:pPr>
      <w:r>
        <w:t>Des charges et des produis exceptionnels</w:t>
      </w:r>
    </w:p>
    <w:p w14:paraId="66FB709B" w14:textId="77777777" w:rsidR="009B12CC" w:rsidRDefault="009B12CC" w:rsidP="009B12CC"/>
    <w:p w14:paraId="571BCF76" w14:textId="77777777" w:rsidR="009B12CC" w:rsidRDefault="009B12CC" w:rsidP="009B12CC"/>
    <w:p w14:paraId="60F2C3F2" w14:textId="77777777" w:rsidR="009B12CC" w:rsidRDefault="009B12CC" w:rsidP="009B12CC">
      <w:r>
        <w:t>Sur le BL</w:t>
      </w:r>
    </w:p>
    <w:p w14:paraId="5C541233" w14:textId="23D71090" w:rsidR="009B12CC" w:rsidRDefault="000C7029" w:rsidP="000C7029">
      <w:pPr>
        <w:pStyle w:val="Paragraphedeliste"/>
        <w:numPr>
          <w:ilvl w:val="0"/>
          <w:numId w:val="5"/>
        </w:numPr>
      </w:pPr>
      <w:r>
        <w:t>Passif augmente</w:t>
      </w:r>
    </w:p>
    <w:p w14:paraId="05E3675C" w14:textId="77777777" w:rsidR="009B12CC" w:rsidRDefault="009B12CC" w:rsidP="009B12CC"/>
    <w:p w14:paraId="0000DDC9" w14:textId="77777777" w:rsidR="009B12CC" w:rsidRPr="009172E0" w:rsidRDefault="009B12CC" w:rsidP="009B12CC">
      <w:pPr>
        <w:rPr>
          <w:sz w:val="28"/>
          <w:szCs w:val="28"/>
        </w:rPr>
      </w:pPr>
    </w:p>
    <w:p w14:paraId="43FE3056" w14:textId="77777777" w:rsidR="009B12CC" w:rsidRDefault="009B12CC" w:rsidP="009B12CC"/>
    <w:p w14:paraId="23BD39FA" w14:textId="77777777" w:rsidR="009B12CC" w:rsidRDefault="009B12CC" w:rsidP="009B12CC"/>
    <w:p w14:paraId="07939C2A" w14:textId="77777777" w:rsidR="009B12CC" w:rsidRDefault="009B12CC"/>
    <w:sectPr w:rsidR="009B12CC" w:rsidSect="004D7755">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BCD9" w14:textId="77777777" w:rsidR="00470FF7" w:rsidRDefault="00470FF7" w:rsidP="009B12CC">
      <w:r>
        <w:separator/>
      </w:r>
    </w:p>
  </w:endnote>
  <w:endnote w:type="continuationSeparator" w:id="0">
    <w:p w14:paraId="6BB7B265" w14:textId="77777777" w:rsidR="00470FF7" w:rsidRDefault="00470FF7" w:rsidP="009B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ndale Mono">
    <w:panose1 w:val="020B0509000000000004"/>
    <w:charset w:val="00"/>
    <w:family w:val="modern"/>
    <w:pitch w:val="fixed"/>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F49C" w14:textId="77777777" w:rsidR="00E41CC5" w:rsidRDefault="00131A95" w:rsidP="00E41CC5">
    <w:pPr>
      <w:pStyle w:val="Pieddepage"/>
      <w:jc w:val="right"/>
    </w:pPr>
    <w:r>
      <w:rPr>
        <w:color w:val="4472C4" w:themeColor="accent1"/>
        <w:sz w:val="20"/>
        <w:szCs w:val="20"/>
      </w:rPr>
      <w:t xml:space="preserve">S MOUHAMAD </w:t>
    </w:r>
    <w:r>
      <w:rPr>
        <w:color w:val="4472C4" w:themeColor="accent1"/>
        <w:sz w:val="20"/>
        <w:szCs w:val="20"/>
      </w:rPr>
      <w:tab/>
    </w:r>
    <w:r>
      <w:rPr>
        <w:color w:val="4472C4" w:themeColor="accent1"/>
        <w:sz w:val="20"/>
        <w:szCs w:val="20"/>
      </w:rPr>
      <w:tab/>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2</w:t>
    </w:r>
    <w:r>
      <w:rPr>
        <w:color w:val="4472C4" w:themeColor="accent1"/>
        <w:sz w:val="20"/>
        <w:szCs w:val="20"/>
      </w:rPr>
      <w:fldChar w:fldCharType="end"/>
    </w:r>
  </w:p>
  <w:p w14:paraId="2822E5EE" w14:textId="77777777" w:rsidR="00E41CC5" w:rsidRDefault="00470F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CCF4" w14:textId="77777777" w:rsidR="00470FF7" w:rsidRDefault="00470FF7" w:rsidP="009B12CC">
      <w:r>
        <w:separator/>
      </w:r>
    </w:p>
  </w:footnote>
  <w:footnote w:type="continuationSeparator" w:id="0">
    <w:p w14:paraId="63301188" w14:textId="77777777" w:rsidR="00470FF7" w:rsidRDefault="00470FF7" w:rsidP="009B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60B2" w14:textId="622DF255" w:rsidR="00E41CC5" w:rsidRDefault="00470FF7" w:rsidP="00E41CC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85"/>
    <w:multiLevelType w:val="hybridMultilevel"/>
    <w:tmpl w:val="A19679AA"/>
    <w:lvl w:ilvl="0" w:tplc="80FCD4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0785C"/>
    <w:multiLevelType w:val="hybridMultilevel"/>
    <w:tmpl w:val="8DE4CE78"/>
    <w:lvl w:ilvl="0" w:tplc="D3B212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C5638A"/>
    <w:multiLevelType w:val="hybridMultilevel"/>
    <w:tmpl w:val="F7C04858"/>
    <w:lvl w:ilvl="0" w:tplc="DF8A6EB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65CDE"/>
    <w:multiLevelType w:val="hybridMultilevel"/>
    <w:tmpl w:val="F53A39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CE29CF"/>
    <w:multiLevelType w:val="hybridMultilevel"/>
    <w:tmpl w:val="75689E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C7299D"/>
    <w:multiLevelType w:val="hybridMultilevel"/>
    <w:tmpl w:val="A91047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157ABE"/>
    <w:multiLevelType w:val="hybridMultilevel"/>
    <w:tmpl w:val="906CE9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6F3C13"/>
    <w:multiLevelType w:val="hybridMultilevel"/>
    <w:tmpl w:val="8DE4CE78"/>
    <w:lvl w:ilvl="0" w:tplc="D3B212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5120A5"/>
    <w:multiLevelType w:val="hybridMultilevel"/>
    <w:tmpl w:val="9CA85A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673D5A"/>
    <w:multiLevelType w:val="hybridMultilevel"/>
    <w:tmpl w:val="47ECBE1E"/>
    <w:lvl w:ilvl="0" w:tplc="79623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4C5C2A"/>
    <w:multiLevelType w:val="hybridMultilevel"/>
    <w:tmpl w:val="7C961B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237330"/>
    <w:multiLevelType w:val="hybridMultilevel"/>
    <w:tmpl w:val="8DE4CE78"/>
    <w:lvl w:ilvl="0" w:tplc="D3B212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1C731F"/>
    <w:multiLevelType w:val="hybridMultilevel"/>
    <w:tmpl w:val="671ADE5C"/>
    <w:lvl w:ilvl="0" w:tplc="170EBF04">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E6F345E"/>
    <w:multiLevelType w:val="hybridMultilevel"/>
    <w:tmpl w:val="284435EC"/>
    <w:lvl w:ilvl="0" w:tplc="ACFE037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A37921"/>
    <w:multiLevelType w:val="hybridMultilevel"/>
    <w:tmpl w:val="4A90D3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0E703A"/>
    <w:multiLevelType w:val="hybridMultilevel"/>
    <w:tmpl w:val="72E05F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F660CE"/>
    <w:multiLevelType w:val="hybridMultilevel"/>
    <w:tmpl w:val="4A90D3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3D1C27"/>
    <w:multiLevelType w:val="hybridMultilevel"/>
    <w:tmpl w:val="962EFE4C"/>
    <w:lvl w:ilvl="0" w:tplc="E1D0A9F4">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8D2B24"/>
    <w:multiLevelType w:val="hybridMultilevel"/>
    <w:tmpl w:val="6748C4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BB6C4F"/>
    <w:multiLevelType w:val="hybridMultilevel"/>
    <w:tmpl w:val="8DE4CE78"/>
    <w:lvl w:ilvl="0" w:tplc="D3B212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1E45AB"/>
    <w:multiLevelType w:val="hybridMultilevel"/>
    <w:tmpl w:val="AC28F2CE"/>
    <w:lvl w:ilvl="0" w:tplc="D3B212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1F5D59"/>
    <w:multiLevelType w:val="hybridMultilevel"/>
    <w:tmpl w:val="A60A4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0"/>
  </w:num>
  <w:num w:numId="4">
    <w:abstractNumId w:val="10"/>
  </w:num>
  <w:num w:numId="5">
    <w:abstractNumId w:val="13"/>
  </w:num>
  <w:num w:numId="6">
    <w:abstractNumId w:val="6"/>
  </w:num>
  <w:num w:numId="7">
    <w:abstractNumId w:val="2"/>
  </w:num>
  <w:num w:numId="8">
    <w:abstractNumId w:val="1"/>
  </w:num>
  <w:num w:numId="9">
    <w:abstractNumId w:val="8"/>
  </w:num>
  <w:num w:numId="10">
    <w:abstractNumId w:val="7"/>
  </w:num>
  <w:num w:numId="11">
    <w:abstractNumId w:val="4"/>
  </w:num>
  <w:num w:numId="12">
    <w:abstractNumId w:val="15"/>
  </w:num>
  <w:num w:numId="13">
    <w:abstractNumId w:val="5"/>
  </w:num>
  <w:num w:numId="14">
    <w:abstractNumId w:val="21"/>
  </w:num>
  <w:num w:numId="15">
    <w:abstractNumId w:val="11"/>
  </w:num>
  <w:num w:numId="16">
    <w:abstractNumId w:val="14"/>
  </w:num>
  <w:num w:numId="17">
    <w:abstractNumId w:val="3"/>
  </w:num>
  <w:num w:numId="18">
    <w:abstractNumId w:val="18"/>
  </w:num>
  <w:num w:numId="19">
    <w:abstractNumId w:val="19"/>
  </w:num>
  <w:num w:numId="20">
    <w:abstractNumId w:val="16"/>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CC"/>
    <w:rsid w:val="0009454E"/>
    <w:rsid w:val="000C7029"/>
    <w:rsid w:val="00131A95"/>
    <w:rsid w:val="00470FF7"/>
    <w:rsid w:val="004D7755"/>
    <w:rsid w:val="009B12CC"/>
    <w:rsid w:val="00B267DD"/>
    <w:rsid w:val="00BE0967"/>
    <w:rsid w:val="00E00D08"/>
    <w:rsid w:val="00F13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E1F1E5"/>
  <w15:chartTrackingRefBased/>
  <w15:docId w15:val="{8240978E-4F6A-254B-96EE-FF94DF5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2CC"/>
    <w:pPr>
      <w:ind w:left="720"/>
      <w:contextualSpacing/>
    </w:pPr>
  </w:style>
  <w:style w:type="table" w:styleId="Grilledutableau">
    <w:name w:val="Table Grid"/>
    <w:basedOn w:val="TableauNormal"/>
    <w:uiPriority w:val="39"/>
    <w:rsid w:val="009B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12CC"/>
    <w:pPr>
      <w:tabs>
        <w:tab w:val="center" w:pos="4536"/>
        <w:tab w:val="right" w:pos="9072"/>
      </w:tabs>
    </w:pPr>
  </w:style>
  <w:style w:type="character" w:customStyle="1" w:styleId="En-tteCar">
    <w:name w:val="En-tête Car"/>
    <w:basedOn w:val="Policepardfaut"/>
    <w:link w:val="En-tte"/>
    <w:uiPriority w:val="99"/>
    <w:rsid w:val="009B12CC"/>
  </w:style>
  <w:style w:type="paragraph" w:styleId="Pieddepage">
    <w:name w:val="footer"/>
    <w:basedOn w:val="Normal"/>
    <w:link w:val="PieddepageCar"/>
    <w:uiPriority w:val="99"/>
    <w:unhideWhenUsed/>
    <w:rsid w:val="009B12CC"/>
    <w:pPr>
      <w:tabs>
        <w:tab w:val="center" w:pos="4536"/>
        <w:tab w:val="right" w:pos="9072"/>
      </w:tabs>
    </w:pPr>
  </w:style>
  <w:style w:type="character" w:customStyle="1" w:styleId="PieddepageCar">
    <w:name w:val="Pied de page Car"/>
    <w:basedOn w:val="Policepardfaut"/>
    <w:link w:val="Pieddepage"/>
    <w:uiPriority w:val="99"/>
    <w:rsid w:val="009B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2088</Words>
  <Characters>11487</Characters>
  <Application>Microsoft Office Word</Application>
  <DocSecurity>0</DocSecurity>
  <Lines>95</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2022-05-11T07:46:00Z</dcterms:created>
  <dcterms:modified xsi:type="dcterms:W3CDTF">2022-05-17T13:04:00Z</dcterms:modified>
</cp:coreProperties>
</file>