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1F" w:rsidRPr="00F2676D" w:rsidRDefault="00490AC5" w:rsidP="00656BDC">
      <w:pPr>
        <w:rPr>
          <w:b/>
          <w:color w:val="FF0000"/>
          <w:sz w:val="22"/>
          <w:szCs w:val="22"/>
          <w:u w:val="single"/>
        </w:rPr>
      </w:pPr>
      <w:r>
        <w:rPr>
          <w:rStyle w:val="IntenseEmphasis"/>
          <w:rFonts w:ascii="Papyrus" w:hAnsi="Papyrus"/>
          <w:sz w:val="20"/>
          <w:szCs w:val="20"/>
        </w:rPr>
        <w:t>Immuno</w:t>
      </w:r>
      <w:r>
        <w:rPr>
          <w:rStyle w:val="IntenseEmphasis"/>
          <w:rFonts w:ascii="Papyrus" w:hAnsi="Papyrus"/>
          <w:color w:val="FF0000"/>
          <w:sz w:val="20"/>
          <w:szCs w:val="20"/>
        </w:rPr>
        <w:t>Bio</w:t>
      </w:r>
      <w:r>
        <w:rPr>
          <w:rStyle w:val="IntenseEmphasis"/>
          <w:rFonts w:ascii="Papyrus" w:hAnsi="Papyrus"/>
          <w:color w:val="7030A0"/>
          <w:sz w:val="20"/>
          <w:szCs w:val="20"/>
        </w:rPr>
        <w:t xml:space="preserve">Science </w:t>
      </w:r>
      <w:r>
        <w:rPr>
          <w:rStyle w:val="IntenseEmphasis"/>
          <w:rFonts w:ascii="Papyrus" w:hAnsi="Papyrus"/>
          <w:color w:val="E36C0A"/>
          <w:sz w:val="20"/>
          <w:szCs w:val="20"/>
        </w:rPr>
        <w:t>Corp</w:t>
      </w:r>
      <w:r>
        <w:rPr>
          <w:rStyle w:val="IntenseEmphasis"/>
          <w:rFonts w:ascii="Papyrus" w:hAnsi="Papyrus"/>
          <w:color w:val="00B0F0"/>
          <w:sz w:val="20"/>
          <w:szCs w:val="20"/>
        </w:rPr>
        <w:t>.</w:t>
      </w:r>
      <w:r>
        <w:rPr>
          <w:rStyle w:val="IntenseEmphasis"/>
          <w:rFonts w:ascii="Papyrus" w:hAnsi="Papyrus"/>
          <w:sz w:val="20"/>
          <w:szCs w:val="20"/>
        </w:rPr>
        <w:t xml:space="preserve"> (</w:t>
      </w:r>
      <w:r>
        <w:rPr>
          <w:rStyle w:val="IntenseEmphasis"/>
          <w:rFonts w:ascii="Papyrus" w:hAnsi="Papyrus"/>
          <w:color w:val="00B050"/>
          <w:sz w:val="20"/>
          <w:szCs w:val="20"/>
        </w:rPr>
        <w:t>IBSC)</w:t>
      </w:r>
      <w:r>
        <w:rPr>
          <w:rStyle w:val="IntenseEmphasis"/>
          <w:rFonts w:ascii="Papyrus" w:hAnsi="Papyrus"/>
          <w:sz w:val="20"/>
          <w:szCs w:val="20"/>
        </w:rPr>
        <w:t xml:space="preserve">                                                                               </w:t>
      </w:r>
      <w:r w:rsidR="002E30BC">
        <w:rPr>
          <w:rFonts w:ascii="Verdana" w:hAnsi="Verdana"/>
          <w:i/>
          <w:color w:val="000000"/>
          <w:sz w:val="20"/>
          <w:szCs w:val="20"/>
        </w:rPr>
        <w:t>DATA SHEET</w:t>
      </w:r>
      <w:r w:rsidR="002E30BC">
        <w:rPr>
          <w:b/>
        </w:rPr>
        <w:t xml:space="preserve"> </w:t>
      </w:r>
      <w:r w:rsidR="00992580" w:rsidRPr="00490AC5">
        <w:rPr>
          <w:color w:val="FF0000"/>
          <w:sz w:val="28"/>
          <w:szCs w:val="28"/>
        </w:rPr>
        <w:t>A</w:t>
      </w:r>
      <w:r w:rsidR="001B5E8F" w:rsidRPr="00490AC5">
        <w:rPr>
          <w:color w:val="FF0000"/>
          <w:sz w:val="28"/>
          <w:szCs w:val="28"/>
        </w:rPr>
        <w:t>vidin/Biotin Blocking Kit Set</w:t>
      </w:r>
      <w:r w:rsidR="001B5E8F" w:rsidRPr="00490AC5">
        <w:rPr>
          <w:color w:val="FF0000"/>
          <w:sz w:val="22"/>
          <w:szCs w:val="22"/>
        </w:rPr>
        <w:t xml:space="preserve"> </w:t>
      </w:r>
      <w:r w:rsidR="009A72F0" w:rsidRPr="00490AC5">
        <w:rPr>
          <w:color w:val="FF0000"/>
          <w:sz w:val="22"/>
          <w:szCs w:val="22"/>
          <w:u w:val="single"/>
        </w:rPr>
        <w:t>(For use with A</w:t>
      </w:r>
      <w:r w:rsidR="001B5E8F" w:rsidRPr="00490AC5">
        <w:rPr>
          <w:color w:val="FF0000"/>
          <w:sz w:val="22"/>
          <w:szCs w:val="22"/>
          <w:u w:val="single"/>
        </w:rPr>
        <w:t>vidin/Biotin Detection system).</w:t>
      </w:r>
    </w:p>
    <w:p w:rsidR="001B5E8F" w:rsidRPr="009A3D64" w:rsidRDefault="00656BDC" w:rsidP="00710D75">
      <w:pPr>
        <w:rPr>
          <w:i/>
          <w:sz w:val="18"/>
          <w:szCs w:val="18"/>
        </w:rPr>
      </w:pPr>
      <w:r w:rsidRPr="00E303A5">
        <w:rPr>
          <w:b/>
          <w:sz w:val="20"/>
          <w:szCs w:val="20"/>
        </w:rPr>
        <w:t>Catalog number</w:t>
      </w:r>
      <w:r w:rsidR="001B5E8F" w:rsidRPr="00E303A5">
        <w:rPr>
          <w:b/>
          <w:sz w:val="20"/>
          <w:szCs w:val="20"/>
        </w:rPr>
        <w:t>:</w:t>
      </w:r>
      <w:r w:rsidR="001B5E8F" w:rsidRPr="001B5E8F">
        <w:rPr>
          <w:b/>
          <w:sz w:val="20"/>
          <w:szCs w:val="20"/>
        </w:rPr>
        <w:t xml:space="preserve"> </w:t>
      </w:r>
      <w:r w:rsidR="004E4087">
        <w:rPr>
          <w:sz w:val="20"/>
          <w:szCs w:val="20"/>
        </w:rPr>
        <w:t>AR-6585</w:t>
      </w:r>
      <w:r w:rsidR="00F05C98">
        <w:rPr>
          <w:sz w:val="20"/>
          <w:szCs w:val="20"/>
        </w:rPr>
        <w:t>-01</w:t>
      </w:r>
      <w:r w:rsidR="001B5E8F" w:rsidRPr="001B5E8F">
        <w:rPr>
          <w:sz w:val="20"/>
          <w:szCs w:val="20"/>
        </w:rPr>
        <w:t xml:space="preserve">   </w:t>
      </w:r>
      <w:r w:rsidR="001B5E8F" w:rsidRPr="001604B1">
        <w:rPr>
          <w:sz w:val="18"/>
          <w:szCs w:val="18"/>
        </w:rPr>
        <w:t>Ready to use</w:t>
      </w:r>
      <w:r w:rsidR="0048131F" w:rsidRPr="001604B1">
        <w:rPr>
          <w:sz w:val="18"/>
          <w:szCs w:val="18"/>
        </w:rPr>
        <w:t xml:space="preserve"> </w:t>
      </w:r>
      <w:r w:rsidR="00992580">
        <w:rPr>
          <w:sz w:val="18"/>
          <w:szCs w:val="18"/>
        </w:rPr>
        <w:t xml:space="preserve">Reagent </w:t>
      </w:r>
      <w:proofErr w:type="gramStart"/>
      <w:r w:rsidR="00992580">
        <w:rPr>
          <w:sz w:val="18"/>
          <w:szCs w:val="18"/>
        </w:rPr>
        <w:t>A</w:t>
      </w:r>
      <w:proofErr w:type="gramEnd"/>
      <w:r w:rsidR="00992580">
        <w:rPr>
          <w:sz w:val="18"/>
          <w:szCs w:val="18"/>
        </w:rPr>
        <w:t xml:space="preserve"> (A</w:t>
      </w:r>
      <w:r w:rsidR="00806DF1">
        <w:rPr>
          <w:sz w:val="18"/>
          <w:szCs w:val="18"/>
        </w:rPr>
        <w:t>vidin</w:t>
      </w:r>
      <w:r w:rsidR="001B5E8F" w:rsidRPr="001604B1">
        <w:rPr>
          <w:sz w:val="18"/>
          <w:szCs w:val="18"/>
        </w:rPr>
        <w:t xml:space="preserve">) </w:t>
      </w:r>
      <w:r w:rsidR="001604B1">
        <w:rPr>
          <w:sz w:val="18"/>
          <w:szCs w:val="18"/>
        </w:rPr>
        <w:t>15 ml</w:t>
      </w:r>
      <w:r w:rsidR="009A3D64">
        <w:rPr>
          <w:sz w:val="18"/>
          <w:szCs w:val="18"/>
        </w:rPr>
        <w:t xml:space="preserve"> (</w:t>
      </w:r>
      <w:r w:rsidR="009A3D64" w:rsidRPr="009A3D64">
        <w:rPr>
          <w:i/>
          <w:sz w:val="18"/>
          <w:szCs w:val="18"/>
        </w:rPr>
        <w:t>Yellow</w:t>
      </w:r>
      <w:r w:rsidR="009A3D64">
        <w:rPr>
          <w:i/>
          <w:sz w:val="18"/>
          <w:szCs w:val="18"/>
        </w:rPr>
        <w:t xml:space="preserve"> color</w:t>
      </w:r>
      <w:r w:rsidR="009A3D64" w:rsidRPr="009A3D64">
        <w:rPr>
          <w:i/>
          <w:sz w:val="18"/>
          <w:szCs w:val="18"/>
        </w:rPr>
        <w:t xml:space="preserve"> cap</w:t>
      </w:r>
      <w:r w:rsidR="009A3D64">
        <w:rPr>
          <w:i/>
          <w:sz w:val="18"/>
          <w:szCs w:val="18"/>
        </w:rPr>
        <w:t>)</w:t>
      </w:r>
    </w:p>
    <w:p w:rsidR="00710D75" w:rsidRPr="009A3D64" w:rsidRDefault="001B5E8F" w:rsidP="00710D75">
      <w:pPr>
        <w:rPr>
          <w:i/>
          <w:sz w:val="18"/>
          <w:szCs w:val="18"/>
        </w:rPr>
      </w:pPr>
      <w:r w:rsidRPr="001604B1">
        <w:rPr>
          <w:sz w:val="18"/>
          <w:szCs w:val="18"/>
        </w:rPr>
        <w:t xml:space="preserve">                                                    </w:t>
      </w:r>
      <w:r w:rsidR="001604B1">
        <w:rPr>
          <w:sz w:val="18"/>
          <w:szCs w:val="18"/>
        </w:rPr>
        <w:t xml:space="preserve">      </w:t>
      </w:r>
      <w:r w:rsidRPr="001604B1">
        <w:rPr>
          <w:sz w:val="18"/>
          <w:szCs w:val="18"/>
        </w:rPr>
        <w:t xml:space="preserve">   Ready to use Reagent B (Biotin) </w:t>
      </w:r>
      <w:r w:rsidR="0048131F" w:rsidRPr="001604B1">
        <w:rPr>
          <w:sz w:val="18"/>
          <w:szCs w:val="18"/>
        </w:rPr>
        <w:t xml:space="preserve">15 ml </w:t>
      </w:r>
      <w:r w:rsidR="009A3D64" w:rsidRPr="009A3D64">
        <w:rPr>
          <w:i/>
          <w:sz w:val="18"/>
          <w:szCs w:val="18"/>
        </w:rPr>
        <w:t xml:space="preserve">(Pink </w:t>
      </w:r>
      <w:r w:rsidR="009A3D64">
        <w:rPr>
          <w:i/>
          <w:sz w:val="18"/>
          <w:szCs w:val="18"/>
        </w:rPr>
        <w:t>color cap)</w:t>
      </w:r>
    </w:p>
    <w:p w:rsidR="008C4F50" w:rsidRPr="009A3D64" w:rsidRDefault="00E303A5" w:rsidP="008C4F50">
      <w:pPr>
        <w:rPr>
          <w:i/>
          <w:sz w:val="20"/>
          <w:szCs w:val="20"/>
        </w:rPr>
      </w:pPr>
      <w:r w:rsidRPr="001B5E8F">
        <w:rPr>
          <w:sz w:val="20"/>
          <w:szCs w:val="20"/>
        </w:rPr>
        <w:t xml:space="preserve">                      </w:t>
      </w:r>
      <w:r w:rsidR="004E4087">
        <w:rPr>
          <w:sz w:val="20"/>
          <w:szCs w:val="20"/>
        </w:rPr>
        <w:t xml:space="preserve">        AR-6585</w:t>
      </w:r>
      <w:r w:rsidR="00F05C98">
        <w:rPr>
          <w:sz w:val="20"/>
          <w:szCs w:val="20"/>
        </w:rPr>
        <w:t>-02</w:t>
      </w:r>
      <w:r w:rsidR="0048131F" w:rsidRPr="001B5E8F">
        <w:rPr>
          <w:sz w:val="20"/>
          <w:szCs w:val="20"/>
        </w:rPr>
        <w:t xml:space="preserve"> </w:t>
      </w:r>
      <w:r w:rsidR="001604B1">
        <w:rPr>
          <w:sz w:val="20"/>
          <w:szCs w:val="20"/>
        </w:rPr>
        <w:t xml:space="preserve">   </w:t>
      </w:r>
      <w:r w:rsidR="00992580">
        <w:rPr>
          <w:sz w:val="20"/>
          <w:szCs w:val="20"/>
        </w:rPr>
        <w:t xml:space="preserve">Ready to use Reagent </w:t>
      </w:r>
      <w:proofErr w:type="gramStart"/>
      <w:r w:rsidR="00992580">
        <w:rPr>
          <w:sz w:val="20"/>
          <w:szCs w:val="20"/>
        </w:rPr>
        <w:t>A</w:t>
      </w:r>
      <w:proofErr w:type="gramEnd"/>
      <w:r w:rsidR="00992580">
        <w:rPr>
          <w:sz w:val="20"/>
          <w:szCs w:val="20"/>
        </w:rPr>
        <w:t xml:space="preserve"> (A</w:t>
      </w:r>
      <w:r w:rsidR="001604B1">
        <w:rPr>
          <w:sz w:val="20"/>
          <w:szCs w:val="20"/>
        </w:rPr>
        <w:t>vidin) 50 ml</w:t>
      </w:r>
      <w:r w:rsidR="009A3D64">
        <w:rPr>
          <w:sz w:val="20"/>
          <w:szCs w:val="20"/>
        </w:rPr>
        <w:t xml:space="preserve"> </w:t>
      </w:r>
      <w:r w:rsidR="009A3D64">
        <w:rPr>
          <w:i/>
          <w:sz w:val="20"/>
          <w:szCs w:val="20"/>
        </w:rPr>
        <w:t>(Yellow color cap)</w:t>
      </w:r>
    </w:p>
    <w:p w:rsidR="001604B1" w:rsidRPr="001B5E8F" w:rsidRDefault="001604B1" w:rsidP="008C4F50">
      <w:pPr>
        <w:rPr>
          <w:sz w:val="20"/>
          <w:szCs w:val="20"/>
        </w:rPr>
      </w:pPr>
      <w:r>
        <w:rPr>
          <w:sz w:val="20"/>
          <w:szCs w:val="20"/>
        </w:rPr>
        <w:t xml:space="preserve">                                                      Ready to use Reagent B (Biotin) 50 ml </w:t>
      </w:r>
      <w:r w:rsidR="009A3D64">
        <w:rPr>
          <w:i/>
          <w:sz w:val="20"/>
          <w:szCs w:val="20"/>
        </w:rPr>
        <w:t>(Pink color cap)</w:t>
      </w:r>
      <w:r>
        <w:rPr>
          <w:sz w:val="20"/>
          <w:szCs w:val="20"/>
        </w:rPr>
        <w:t xml:space="preserve"> </w:t>
      </w:r>
    </w:p>
    <w:p w:rsidR="008B203D" w:rsidRDefault="009C173C" w:rsidP="00E414B0">
      <w:pPr>
        <w:rPr>
          <w:bCs/>
          <w:sz w:val="22"/>
          <w:szCs w:val="22"/>
        </w:rPr>
      </w:pPr>
      <w:r w:rsidRPr="00EF7F1C">
        <w:rPr>
          <w:b/>
        </w:rPr>
        <w:t>Description</w:t>
      </w:r>
      <w:r w:rsidRPr="00EF7F1C">
        <w:t>:</w:t>
      </w:r>
      <w:r>
        <w:rPr>
          <w:bCs/>
          <w:sz w:val="22"/>
          <w:szCs w:val="22"/>
        </w:rPr>
        <w:t xml:space="preserve"> </w:t>
      </w:r>
      <w:r w:rsidR="0069322E">
        <w:rPr>
          <w:bCs/>
          <w:sz w:val="22"/>
          <w:szCs w:val="22"/>
        </w:rPr>
        <w:t>Some tissue sections</w:t>
      </w:r>
      <w:r w:rsidR="001604B1">
        <w:rPr>
          <w:bCs/>
          <w:sz w:val="22"/>
          <w:szCs w:val="22"/>
        </w:rPr>
        <w:t xml:space="preserve"> contain endogenous biotin</w:t>
      </w:r>
      <w:r w:rsidR="0069322E">
        <w:rPr>
          <w:bCs/>
          <w:sz w:val="22"/>
          <w:szCs w:val="22"/>
        </w:rPr>
        <w:t xml:space="preserve">, biotin binding proteins, </w:t>
      </w:r>
      <w:r w:rsidR="00E81F2D">
        <w:rPr>
          <w:bCs/>
          <w:sz w:val="22"/>
          <w:szCs w:val="22"/>
        </w:rPr>
        <w:t>lectins or non</w:t>
      </w:r>
      <w:r w:rsidR="0069322E">
        <w:rPr>
          <w:bCs/>
          <w:sz w:val="22"/>
          <w:szCs w:val="22"/>
        </w:rPr>
        <w:t>-specific binding substances. Tissues may also bind</w:t>
      </w:r>
      <w:r w:rsidR="001604B1">
        <w:rPr>
          <w:bCs/>
          <w:sz w:val="22"/>
          <w:szCs w:val="22"/>
        </w:rPr>
        <w:t xml:space="preserve"> avidin, biotin, peroxidase biotin, p</w:t>
      </w:r>
      <w:r w:rsidR="00992580">
        <w:rPr>
          <w:bCs/>
          <w:sz w:val="22"/>
          <w:szCs w:val="22"/>
        </w:rPr>
        <w:t xml:space="preserve">eroxidase streptavidin in </w:t>
      </w:r>
      <w:r w:rsidR="001604B1">
        <w:rPr>
          <w:bCs/>
          <w:sz w:val="22"/>
          <w:szCs w:val="22"/>
        </w:rPr>
        <w:t xml:space="preserve">avidin biotin based </w:t>
      </w:r>
      <w:r w:rsidR="0069322E">
        <w:rPr>
          <w:bCs/>
          <w:sz w:val="22"/>
          <w:szCs w:val="22"/>
        </w:rPr>
        <w:t xml:space="preserve">Immunohistochemistry. These tissues will give high </w:t>
      </w:r>
      <w:r w:rsidR="00E81F2D">
        <w:rPr>
          <w:bCs/>
          <w:sz w:val="22"/>
          <w:szCs w:val="22"/>
        </w:rPr>
        <w:t xml:space="preserve">background </w:t>
      </w:r>
      <w:r w:rsidR="0069322E">
        <w:rPr>
          <w:bCs/>
          <w:sz w:val="22"/>
          <w:szCs w:val="22"/>
        </w:rPr>
        <w:t xml:space="preserve">in the absence of biotinylated secondary antibodies. It may be necessary </w:t>
      </w:r>
      <w:r w:rsidR="00E81F2D">
        <w:rPr>
          <w:bCs/>
          <w:sz w:val="22"/>
          <w:szCs w:val="22"/>
        </w:rPr>
        <w:t>to b</w:t>
      </w:r>
      <w:r w:rsidR="0069322E">
        <w:rPr>
          <w:bCs/>
          <w:sz w:val="22"/>
          <w:szCs w:val="22"/>
        </w:rPr>
        <w:t>lock the t</w:t>
      </w:r>
      <w:r w:rsidR="00992580">
        <w:rPr>
          <w:bCs/>
          <w:sz w:val="22"/>
          <w:szCs w:val="22"/>
        </w:rPr>
        <w:t xml:space="preserve">issue with </w:t>
      </w:r>
      <w:r w:rsidR="0069322E">
        <w:rPr>
          <w:bCs/>
          <w:sz w:val="22"/>
          <w:szCs w:val="22"/>
        </w:rPr>
        <w:t>avidin</w:t>
      </w:r>
      <w:r w:rsidR="00806DF1">
        <w:rPr>
          <w:bCs/>
          <w:sz w:val="22"/>
          <w:szCs w:val="22"/>
        </w:rPr>
        <w:t xml:space="preserve">, followed by biotin. </w:t>
      </w:r>
      <w:r w:rsidR="00F2676D">
        <w:rPr>
          <w:bCs/>
          <w:sz w:val="22"/>
          <w:szCs w:val="22"/>
        </w:rPr>
        <w:t>These reagents are added before the primary antibody.</w:t>
      </w:r>
    </w:p>
    <w:p w:rsidR="001604B1" w:rsidRDefault="001604B1" w:rsidP="00E414B0">
      <w:pPr>
        <w:rPr>
          <w:bCs/>
          <w:sz w:val="22"/>
          <w:szCs w:val="22"/>
        </w:rPr>
      </w:pPr>
    </w:p>
    <w:p w:rsidR="00064B0F" w:rsidRDefault="00656BDC" w:rsidP="00E414B0">
      <w:proofErr w:type="gramStart"/>
      <w:r w:rsidRPr="00273A77">
        <w:rPr>
          <w:b/>
        </w:rPr>
        <w:t>Intended Use</w:t>
      </w:r>
      <w:r>
        <w:t xml:space="preserve">: </w:t>
      </w:r>
      <w:r w:rsidRPr="00273A77">
        <w:t>Immunohistochemistry (IHC) and Immunocytchemistry</w:t>
      </w:r>
      <w:r w:rsidRPr="00B3689C">
        <w:t xml:space="preserve"> </w:t>
      </w:r>
      <w:r w:rsidRPr="009C2D95">
        <w:t>(ICC</w:t>
      </w:r>
      <w:r w:rsidR="006C0512">
        <w:t>)</w:t>
      </w:r>
      <w:r w:rsidR="00806DF1">
        <w:t>, and immunoblots.</w:t>
      </w:r>
      <w:proofErr w:type="gramEnd"/>
    </w:p>
    <w:p w:rsidR="0050420A" w:rsidRPr="00806DF1" w:rsidRDefault="00894AFC" w:rsidP="0049199D">
      <w:r w:rsidRPr="008B203D">
        <w:rPr>
          <w:b/>
          <w:sz w:val="22"/>
          <w:szCs w:val="22"/>
        </w:rPr>
        <w:t xml:space="preserve">Procedure: </w:t>
      </w:r>
      <w:r w:rsidR="0049199D" w:rsidRPr="008B203D">
        <w:rPr>
          <w:b/>
          <w:sz w:val="22"/>
          <w:szCs w:val="22"/>
        </w:rPr>
        <w:t xml:space="preserve"> </w:t>
      </w:r>
      <w:r w:rsidR="0049199D" w:rsidRPr="00806DF1">
        <w:t>IHC/ICC procedure</w:t>
      </w:r>
      <w:r w:rsidR="0050420A" w:rsidRPr="00806DF1">
        <w:t xml:space="preserve"> for frozen</w:t>
      </w:r>
      <w:r w:rsidR="00806DF1">
        <w:t xml:space="preserve"> sections, paraffin sections, cell </w:t>
      </w:r>
      <w:r w:rsidR="00EC0A0C">
        <w:t>smears.</w:t>
      </w:r>
    </w:p>
    <w:p w:rsidR="0050420A" w:rsidRPr="00BB5268" w:rsidRDefault="0050420A" w:rsidP="0050420A">
      <w:pPr>
        <w:pStyle w:val="ListParagraph"/>
        <w:numPr>
          <w:ilvl w:val="0"/>
          <w:numId w:val="13"/>
        </w:numPr>
        <w:rPr>
          <w:b/>
          <w:sz w:val="20"/>
          <w:szCs w:val="20"/>
        </w:rPr>
      </w:pPr>
      <w:r w:rsidRPr="0050420A">
        <w:rPr>
          <w:sz w:val="20"/>
          <w:szCs w:val="20"/>
        </w:rPr>
        <w:t>Deparafinize</w:t>
      </w:r>
      <w:r w:rsidR="009D749B">
        <w:rPr>
          <w:sz w:val="20"/>
          <w:szCs w:val="20"/>
        </w:rPr>
        <w:t xml:space="preserve"> and hydrate tissue sections </w:t>
      </w:r>
      <w:r>
        <w:rPr>
          <w:sz w:val="20"/>
          <w:szCs w:val="20"/>
        </w:rPr>
        <w:t xml:space="preserve">through xylene or other clearing </w:t>
      </w:r>
      <w:r w:rsidR="009D749B">
        <w:rPr>
          <w:sz w:val="20"/>
          <w:szCs w:val="20"/>
        </w:rPr>
        <w:t>agents and</w:t>
      </w:r>
      <w:r>
        <w:rPr>
          <w:sz w:val="20"/>
          <w:szCs w:val="20"/>
        </w:rPr>
        <w:t xml:space="preserve"> graded alco</w:t>
      </w:r>
      <w:r w:rsidR="009D749B">
        <w:rPr>
          <w:sz w:val="20"/>
          <w:szCs w:val="20"/>
        </w:rPr>
        <w:t xml:space="preserve">hols.(For frozen sections or cell smears; use unfixed, acetone fixed or appropriate fixative for the antigen in question; </w:t>
      </w:r>
      <w:r w:rsidR="009D749B" w:rsidRPr="00BB5268">
        <w:rPr>
          <w:b/>
          <w:sz w:val="20"/>
          <w:szCs w:val="20"/>
        </w:rPr>
        <w:t>for cell smears it may be necessary to permealize the cell by detergent, please refer to antibody protocol)</w:t>
      </w:r>
    </w:p>
    <w:p w:rsidR="009D749B" w:rsidRDefault="009D749B" w:rsidP="0050420A">
      <w:pPr>
        <w:pStyle w:val="ListParagraph"/>
        <w:numPr>
          <w:ilvl w:val="0"/>
          <w:numId w:val="13"/>
        </w:numPr>
        <w:rPr>
          <w:sz w:val="20"/>
          <w:szCs w:val="20"/>
        </w:rPr>
      </w:pPr>
      <w:r>
        <w:rPr>
          <w:sz w:val="20"/>
          <w:szCs w:val="20"/>
        </w:rPr>
        <w:t>Wash 2-3 with distilled or deionized water.</w:t>
      </w:r>
    </w:p>
    <w:p w:rsidR="00806DF1" w:rsidRDefault="00806DF1" w:rsidP="0050420A">
      <w:pPr>
        <w:pStyle w:val="ListParagraph"/>
        <w:numPr>
          <w:ilvl w:val="0"/>
          <w:numId w:val="13"/>
        </w:numPr>
        <w:rPr>
          <w:sz w:val="20"/>
          <w:szCs w:val="20"/>
        </w:rPr>
      </w:pPr>
      <w:r>
        <w:rPr>
          <w:sz w:val="20"/>
          <w:szCs w:val="20"/>
        </w:rPr>
        <w:t>Wash slide with Tris/saline buffer, followed by blocking with normal blocking serum, rinse with buffer.</w:t>
      </w:r>
    </w:p>
    <w:p w:rsidR="00C743E3" w:rsidRDefault="00806DF1" w:rsidP="0050420A">
      <w:pPr>
        <w:pStyle w:val="ListParagraph"/>
        <w:numPr>
          <w:ilvl w:val="0"/>
          <w:numId w:val="13"/>
        </w:numPr>
        <w:rPr>
          <w:sz w:val="20"/>
          <w:szCs w:val="20"/>
        </w:rPr>
      </w:pPr>
      <w:r>
        <w:rPr>
          <w:sz w:val="20"/>
          <w:szCs w:val="20"/>
        </w:rPr>
        <w:t>Block with reagent</w:t>
      </w:r>
      <w:r w:rsidR="00992580">
        <w:rPr>
          <w:sz w:val="20"/>
          <w:szCs w:val="20"/>
        </w:rPr>
        <w:t xml:space="preserve"> A (A</w:t>
      </w:r>
      <w:r>
        <w:rPr>
          <w:sz w:val="20"/>
          <w:szCs w:val="20"/>
        </w:rPr>
        <w:t>vidin) for 5-10 minute, rinse with buffer.</w:t>
      </w:r>
    </w:p>
    <w:p w:rsidR="00806DF1" w:rsidRDefault="00806DF1" w:rsidP="0050420A">
      <w:pPr>
        <w:pStyle w:val="ListParagraph"/>
        <w:numPr>
          <w:ilvl w:val="0"/>
          <w:numId w:val="13"/>
        </w:numPr>
        <w:rPr>
          <w:sz w:val="20"/>
          <w:szCs w:val="20"/>
        </w:rPr>
      </w:pPr>
      <w:r>
        <w:rPr>
          <w:sz w:val="20"/>
          <w:szCs w:val="20"/>
        </w:rPr>
        <w:t>Now block with reagent B (Biotin) for 5-10 minutes</w:t>
      </w:r>
      <w:r w:rsidR="00F2676D">
        <w:rPr>
          <w:sz w:val="20"/>
          <w:szCs w:val="20"/>
        </w:rPr>
        <w:t>, wash thoroughly with buffer.</w:t>
      </w:r>
    </w:p>
    <w:p w:rsidR="0098623E" w:rsidRPr="0098623E" w:rsidRDefault="0098623E" w:rsidP="0098623E">
      <w:pPr>
        <w:pStyle w:val="ListParagraph"/>
        <w:rPr>
          <w:b/>
          <w:sz w:val="20"/>
          <w:szCs w:val="20"/>
        </w:rPr>
      </w:pPr>
      <w:r>
        <w:rPr>
          <w:b/>
          <w:sz w:val="20"/>
          <w:szCs w:val="20"/>
        </w:rPr>
        <w:t xml:space="preserve">           </w:t>
      </w:r>
      <w:r w:rsidRPr="00363670">
        <w:rPr>
          <w:b/>
          <w:sz w:val="20"/>
          <w:szCs w:val="20"/>
        </w:rPr>
        <w:t>Note:</w:t>
      </w:r>
      <w:r>
        <w:rPr>
          <w:b/>
          <w:sz w:val="20"/>
          <w:szCs w:val="20"/>
        </w:rPr>
        <w:t xml:space="preserve"> If antigen retriever </w:t>
      </w:r>
      <w:r w:rsidR="00BB5268">
        <w:rPr>
          <w:b/>
          <w:sz w:val="20"/>
          <w:szCs w:val="20"/>
        </w:rPr>
        <w:t>is required it can be applied after</w:t>
      </w:r>
      <w:r>
        <w:rPr>
          <w:b/>
          <w:sz w:val="20"/>
          <w:szCs w:val="20"/>
        </w:rPr>
        <w:t xml:space="preserve"> this stage.</w:t>
      </w:r>
    </w:p>
    <w:p w:rsidR="008F6672" w:rsidRDefault="00BF52B8" w:rsidP="0050420A">
      <w:pPr>
        <w:pStyle w:val="ListParagraph"/>
        <w:numPr>
          <w:ilvl w:val="0"/>
          <w:numId w:val="13"/>
        </w:numPr>
        <w:rPr>
          <w:sz w:val="20"/>
          <w:szCs w:val="20"/>
        </w:rPr>
      </w:pPr>
      <w:r>
        <w:rPr>
          <w:sz w:val="20"/>
          <w:szCs w:val="20"/>
        </w:rPr>
        <w:t xml:space="preserve">Wash slide with PBS </w:t>
      </w:r>
      <w:r w:rsidR="008D044B">
        <w:rPr>
          <w:sz w:val="20"/>
          <w:szCs w:val="20"/>
        </w:rPr>
        <w:t xml:space="preserve">or Tris saline </w:t>
      </w:r>
      <w:r w:rsidR="008D044B">
        <w:rPr>
          <w:b/>
          <w:sz w:val="20"/>
          <w:szCs w:val="20"/>
        </w:rPr>
        <w:t xml:space="preserve">(with 0.02-0.05% nonionic detergent, Triton X100, Tween 20 or NP-40) </w:t>
      </w:r>
      <w:r w:rsidR="008F6672">
        <w:rPr>
          <w:sz w:val="20"/>
          <w:szCs w:val="20"/>
        </w:rPr>
        <w:t>or washi</w:t>
      </w:r>
      <w:r w:rsidR="00A220A7">
        <w:rPr>
          <w:sz w:val="20"/>
          <w:szCs w:val="20"/>
        </w:rPr>
        <w:t>ng buffer (Immuno</w:t>
      </w:r>
      <w:r w:rsidR="008F6672">
        <w:rPr>
          <w:sz w:val="20"/>
          <w:szCs w:val="20"/>
        </w:rPr>
        <w:t xml:space="preserve"> </w:t>
      </w:r>
      <w:r w:rsidR="00A220A7">
        <w:rPr>
          <w:sz w:val="20"/>
          <w:szCs w:val="20"/>
        </w:rPr>
        <w:t xml:space="preserve">Automation </w:t>
      </w:r>
      <w:r w:rsidR="008F6672">
        <w:rPr>
          <w:sz w:val="20"/>
          <w:szCs w:val="20"/>
        </w:rPr>
        <w:t>buffer IBSC cat # AR-6561)</w:t>
      </w:r>
    </w:p>
    <w:p w:rsidR="00BF52B8" w:rsidRDefault="00F2676D" w:rsidP="00F2676D">
      <w:pPr>
        <w:pStyle w:val="ListParagraph"/>
        <w:rPr>
          <w:sz w:val="20"/>
          <w:szCs w:val="20"/>
        </w:rPr>
      </w:pPr>
      <w:r>
        <w:rPr>
          <w:sz w:val="20"/>
          <w:szCs w:val="20"/>
        </w:rPr>
        <w:t xml:space="preserve">    </w:t>
      </w:r>
      <w:proofErr w:type="gramStart"/>
      <w:r w:rsidR="00011D1B">
        <w:rPr>
          <w:sz w:val="20"/>
          <w:szCs w:val="20"/>
        </w:rPr>
        <w:t>3-5X.</w:t>
      </w:r>
      <w:proofErr w:type="gramEnd"/>
      <w:r>
        <w:rPr>
          <w:sz w:val="20"/>
          <w:szCs w:val="20"/>
        </w:rPr>
        <w:t xml:space="preserve"> </w:t>
      </w:r>
    </w:p>
    <w:p w:rsidR="000B45BE" w:rsidRDefault="005119EA" w:rsidP="00661CAA">
      <w:pPr>
        <w:pStyle w:val="ListParagraph"/>
        <w:numPr>
          <w:ilvl w:val="0"/>
          <w:numId w:val="13"/>
        </w:numPr>
        <w:rPr>
          <w:i/>
          <w:sz w:val="20"/>
          <w:szCs w:val="20"/>
        </w:rPr>
      </w:pPr>
      <w:r>
        <w:rPr>
          <w:i/>
          <w:sz w:val="20"/>
          <w:szCs w:val="20"/>
        </w:rPr>
        <w:t>Follow instructions for IHC/ICC.</w:t>
      </w:r>
    </w:p>
    <w:p w:rsidR="00EC0A0C" w:rsidRPr="00E81F2D" w:rsidRDefault="00EC0A0C" w:rsidP="00EC0A0C">
      <w:pPr>
        <w:rPr>
          <w:sz w:val="20"/>
          <w:szCs w:val="20"/>
        </w:rPr>
      </w:pPr>
      <w:r w:rsidRPr="00EC0A0C">
        <w:rPr>
          <w:b/>
        </w:rPr>
        <w:t>Procedure for Immunoblots</w:t>
      </w:r>
      <w:r w:rsidRPr="00E81F2D">
        <w:rPr>
          <w:b/>
          <w:i/>
          <w:sz w:val="20"/>
          <w:szCs w:val="20"/>
        </w:rPr>
        <w:t xml:space="preserve">: </w:t>
      </w:r>
      <w:r w:rsidRPr="00E81F2D">
        <w:rPr>
          <w:sz w:val="20"/>
          <w:szCs w:val="20"/>
        </w:rPr>
        <w:t>After protein bl</w:t>
      </w:r>
      <w:r w:rsidR="00992580">
        <w:rPr>
          <w:sz w:val="20"/>
          <w:szCs w:val="20"/>
        </w:rPr>
        <w:t xml:space="preserve">ocking step, soak blot in </w:t>
      </w:r>
      <w:r w:rsidRPr="00E81F2D">
        <w:rPr>
          <w:sz w:val="20"/>
          <w:szCs w:val="20"/>
        </w:rPr>
        <w:t>avidin reagent</w:t>
      </w:r>
      <w:r w:rsidR="00992580">
        <w:rPr>
          <w:sz w:val="20"/>
          <w:szCs w:val="20"/>
        </w:rPr>
        <w:t xml:space="preserve"> </w:t>
      </w:r>
      <w:proofErr w:type="gramStart"/>
      <w:r w:rsidR="00992580">
        <w:rPr>
          <w:sz w:val="20"/>
          <w:szCs w:val="20"/>
        </w:rPr>
        <w:t>A</w:t>
      </w:r>
      <w:proofErr w:type="gramEnd"/>
      <w:r w:rsidR="00E81F2D">
        <w:rPr>
          <w:sz w:val="20"/>
          <w:szCs w:val="20"/>
        </w:rPr>
        <w:t>,</w:t>
      </w:r>
      <w:r w:rsidRPr="00E81F2D">
        <w:rPr>
          <w:sz w:val="20"/>
          <w:szCs w:val="20"/>
        </w:rPr>
        <w:t xml:space="preserve"> diluted 1:20 with tris</w:t>
      </w:r>
      <w:r w:rsidR="00E81F2D" w:rsidRPr="00E81F2D">
        <w:rPr>
          <w:sz w:val="20"/>
          <w:szCs w:val="20"/>
        </w:rPr>
        <w:t>/saline</w:t>
      </w:r>
      <w:r w:rsidRPr="00E81F2D">
        <w:rPr>
          <w:sz w:val="20"/>
          <w:szCs w:val="20"/>
        </w:rPr>
        <w:t xml:space="preserve"> buffer</w:t>
      </w:r>
      <w:r w:rsidR="00E81F2D" w:rsidRPr="00E81F2D">
        <w:rPr>
          <w:sz w:val="20"/>
          <w:szCs w:val="20"/>
        </w:rPr>
        <w:t xml:space="preserve"> for 5-10</w:t>
      </w:r>
      <w:r w:rsidR="00992580">
        <w:rPr>
          <w:sz w:val="20"/>
          <w:szCs w:val="20"/>
        </w:rPr>
        <w:t xml:space="preserve"> minute. Rinse blot with buffer</w:t>
      </w:r>
      <w:r w:rsidR="00720AB4">
        <w:rPr>
          <w:sz w:val="20"/>
          <w:szCs w:val="20"/>
        </w:rPr>
        <w:t xml:space="preserve">; </w:t>
      </w:r>
      <w:r w:rsidR="00720AB4" w:rsidRPr="00E81F2D">
        <w:rPr>
          <w:sz w:val="20"/>
          <w:szCs w:val="20"/>
        </w:rPr>
        <w:t>followed</w:t>
      </w:r>
      <w:r w:rsidR="00E81F2D" w:rsidRPr="00E81F2D">
        <w:rPr>
          <w:sz w:val="20"/>
          <w:szCs w:val="20"/>
        </w:rPr>
        <w:t xml:space="preserve"> by </w:t>
      </w:r>
      <w:r w:rsidR="00992580" w:rsidRPr="00E81F2D">
        <w:rPr>
          <w:sz w:val="20"/>
          <w:szCs w:val="20"/>
        </w:rPr>
        <w:t>soaking</w:t>
      </w:r>
      <w:r w:rsidR="00992580">
        <w:rPr>
          <w:sz w:val="20"/>
          <w:szCs w:val="20"/>
        </w:rPr>
        <w:t xml:space="preserve"> </w:t>
      </w:r>
      <w:r w:rsidR="00992580" w:rsidRPr="00E81F2D">
        <w:rPr>
          <w:sz w:val="20"/>
          <w:szCs w:val="20"/>
        </w:rPr>
        <w:t>in</w:t>
      </w:r>
      <w:r w:rsidR="00E81F2D" w:rsidRPr="00E81F2D">
        <w:rPr>
          <w:sz w:val="20"/>
          <w:szCs w:val="20"/>
        </w:rPr>
        <w:t xml:space="preserve"> diluted</w:t>
      </w:r>
      <w:r w:rsidR="00992580">
        <w:rPr>
          <w:sz w:val="20"/>
          <w:szCs w:val="20"/>
        </w:rPr>
        <w:t xml:space="preserve"> </w:t>
      </w:r>
      <w:proofErr w:type="gramStart"/>
      <w:r w:rsidR="00992580">
        <w:rPr>
          <w:sz w:val="20"/>
          <w:szCs w:val="20"/>
        </w:rPr>
        <w:t>biotin  reagent</w:t>
      </w:r>
      <w:proofErr w:type="gramEnd"/>
      <w:r w:rsidR="00992580">
        <w:rPr>
          <w:sz w:val="20"/>
          <w:szCs w:val="20"/>
        </w:rPr>
        <w:t xml:space="preserve"> B</w:t>
      </w:r>
      <w:r w:rsidR="00E81F2D">
        <w:rPr>
          <w:sz w:val="20"/>
          <w:szCs w:val="20"/>
        </w:rPr>
        <w:t xml:space="preserve"> (diluted 1:20) for 5-10 minutes.</w:t>
      </w:r>
      <w:r w:rsidR="00E81F2D" w:rsidRPr="00E81F2D">
        <w:rPr>
          <w:sz w:val="20"/>
          <w:szCs w:val="20"/>
        </w:rPr>
        <w:t xml:space="preserve"> Rinse with buffer.</w:t>
      </w:r>
    </w:p>
    <w:p w:rsidR="0049199D" w:rsidRPr="0050420A" w:rsidRDefault="00542558" w:rsidP="0049199D">
      <w:pPr>
        <w:rPr>
          <w:b/>
          <w:sz w:val="22"/>
          <w:szCs w:val="22"/>
        </w:rPr>
      </w:pPr>
      <w:r w:rsidRPr="00B54BA6">
        <w:rPr>
          <w:u w:val="single"/>
        </w:rPr>
        <w:t>These are guide lines, t</w:t>
      </w:r>
      <w:r w:rsidR="000B45BE">
        <w:rPr>
          <w:u w:val="single"/>
        </w:rPr>
        <w:t>he optimum</w:t>
      </w:r>
      <w:r w:rsidR="0049199D" w:rsidRPr="00B54BA6">
        <w:rPr>
          <w:u w:val="single"/>
        </w:rPr>
        <w:t xml:space="preserve"> incubation</w:t>
      </w:r>
      <w:r w:rsidRPr="00B54BA6">
        <w:rPr>
          <w:u w:val="single"/>
        </w:rPr>
        <w:t xml:space="preserve"> </w:t>
      </w:r>
      <w:r w:rsidR="00B54BA6" w:rsidRPr="00B54BA6">
        <w:rPr>
          <w:u w:val="single"/>
        </w:rPr>
        <w:t>times</w:t>
      </w:r>
      <w:r w:rsidR="0049199D" w:rsidRPr="00B54BA6">
        <w:rPr>
          <w:u w:val="single"/>
        </w:rPr>
        <w:t xml:space="preserve"> for these reagents</w:t>
      </w:r>
      <w:r w:rsidRPr="00B54BA6">
        <w:rPr>
          <w:u w:val="single"/>
        </w:rPr>
        <w:t xml:space="preserve"> and reactions</w:t>
      </w:r>
      <w:r w:rsidR="0049199D" w:rsidRPr="00B54BA6">
        <w:rPr>
          <w:u w:val="single"/>
        </w:rPr>
        <w:t xml:space="preserve"> should be determined by the individual lab. </w:t>
      </w:r>
    </w:p>
    <w:p w:rsidR="0049199D" w:rsidRPr="0049199D" w:rsidRDefault="000B45BE" w:rsidP="0049199D">
      <w:r>
        <w:t>---------------------------------------------------------------------------------------------------------</w:t>
      </w:r>
    </w:p>
    <w:p w:rsidR="000B45BE" w:rsidRPr="006424D6" w:rsidRDefault="000B45BE" w:rsidP="000B45BE">
      <w:pPr>
        <w:jc w:val="both"/>
        <w:rPr>
          <w:sz w:val="18"/>
          <w:szCs w:val="18"/>
        </w:rPr>
      </w:pPr>
      <w:r w:rsidRPr="006424D6">
        <w:rPr>
          <w:b/>
          <w:sz w:val="18"/>
          <w:szCs w:val="18"/>
        </w:rPr>
        <w:t>Limitation and warranty:</w:t>
      </w:r>
      <w:r w:rsidRPr="006424D6">
        <w:rPr>
          <w:sz w:val="18"/>
          <w:szCs w:val="18"/>
        </w:rPr>
        <w:t xml:space="preserve"> Our warranty is limited to the actual price paid for the product. We are not liable for any property damage, personnel injury, time, effort or economic loss due to our product.</w:t>
      </w:r>
    </w:p>
    <w:p w:rsidR="000B45BE" w:rsidRPr="006424D6" w:rsidRDefault="000B45BE" w:rsidP="000B45BE">
      <w:pPr>
        <w:jc w:val="both"/>
        <w:rPr>
          <w:sz w:val="18"/>
          <w:szCs w:val="18"/>
        </w:rPr>
      </w:pPr>
      <w:r w:rsidRPr="006424D6">
        <w:rPr>
          <w:b/>
          <w:sz w:val="18"/>
          <w:szCs w:val="18"/>
        </w:rPr>
        <w:t xml:space="preserve">MSDS: </w:t>
      </w:r>
      <w:r w:rsidRPr="006424D6">
        <w:rPr>
          <w:sz w:val="18"/>
          <w:szCs w:val="18"/>
        </w:rPr>
        <w:t xml:space="preserve">This product contains 0.05 % sodium azide as a preservative, appropriate care should be taken in handling. National Institute of Occupational Safety and Health has warning that sodium azide can react with lead, copper, brass or solder in the </w:t>
      </w:r>
      <w:proofErr w:type="spellStart"/>
      <w:r w:rsidRPr="006424D6">
        <w:rPr>
          <w:sz w:val="18"/>
          <w:szCs w:val="18"/>
        </w:rPr>
        <w:t>pluming</w:t>
      </w:r>
      <w:proofErr w:type="spellEnd"/>
      <w:r w:rsidRPr="006424D6">
        <w:rPr>
          <w:sz w:val="18"/>
          <w:szCs w:val="18"/>
        </w:rPr>
        <w:t xml:space="preserve"> system and </w:t>
      </w:r>
      <w:proofErr w:type="gramStart"/>
      <w:r w:rsidRPr="006424D6">
        <w:rPr>
          <w:sz w:val="18"/>
          <w:szCs w:val="18"/>
        </w:rPr>
        <w:t>forms  hydrazoic</w:t>
      </w:r>
      <w:proofErr w:type="gramEnd"/>
      <w:r w:rsidRPr="006424D6">
        <w:rPr>
          <w:sz w:val="18"/>
          <w:szCs w:val="18"/>
        </w:rPr>
        <w:t xml:space="preserve"> acid  in acidic condition. Discard with copious amount of water. Avoid skin and eye contact with all laboratory products. Use appropriate lab. </w:t>
      </w:r>
      <w:proofErr w:type="gramStart"/>
      <w:r w:rsidRPr="006424D6">
        <w:rPr>
          <w:sz w:val="18"/>
          <w:szCs w:val="18"/>
        </w:rPr>
        <w:t>gear</w:t>
      </w:r>
      <w:proofErr w:type="gramEnd"/>
      <w:r w:rsidRPr="006424D6">
        <w:rPr>
          <w:sz w:val="18"/>
          <w:szCs w:val="18"/>
        </w:rPr>
        <w:t xml:space="preserve">, lab coat , gloves and  safety glasses. Do not ingest any lab. </w:t>
      </w:r>
      <w:proofErr w:type="gramStart"/>
      <w:r w:rsidRPr="006424D6">
        <w:rPr>
          <w:sz w:val="18"/>
          <w:szCs w:val="18"/>
        </w:rPr>
        <w:t>products</w:t>
      </w:r>
      <w:proofErr w:type="gramEnd"/>
      <w:r w:rsidRPr="006424D6">
        <w:rPr>
          <w:sz w:val="18"/>
          <w:szCs w:val="18"/>
        </w:rPr>
        <w:t>. This product is not approved for administration in human or animals.</w:t>
      </w:r>
    </w:p>
    <w:p w:rsidR="000B45BE" w:rsidRPr="0032159D" w:rsidRDefault="000B45BE" w:rsidP="000B45BE">
      <w:pPr>
        <w:jc w:val="both"/>
        <w:rPr>
          <w:sz w:val="20"/>
          <w:szCs w:val="20"/>
        </w:rPr>
      </w:pPr>
      <w:r>
        <w:rPr>
          <w:sz w:val="20"/>
          <w:szCs w:val="20"/>
        </w:rPr>
        <w:t>---------------------------------------------------------------------------------------------------------------------------------</w:t>
      </w:r>
    </w:p>
    <w:p w:rsidR="00EE2BF8" w:rsidRPr="008B403F" w:rsidRDefault="00EE2BF8" w:rsidP="00EE2BF8">
      <w:pPr>
        <w:rPr>
          <w:sz w:val="18"/>
          <w:szCs w:val="18"/>
        </w:rPr>
      </w:pPr>
      <w:proofErr w:type="gramStart"/>
      <w:r w:rsidRPr="008B403F">
        <w:rPr>
          <w:sz w:val="18"/>
          <w:szCs w:val="18"/>
        </w:rPr>
        <w:t>For research use only; not for use in diagnostic procedures.</w:t>
      </w:r>
      <w:proofErr w:type="gramEnd"/>
      <w:r w:rsidRPr="008B403F">
        <w:rPr>
          <w:sz w:val="18"/>
          <w:szCs w:val="18"/>
        </w:rPr>
        <w:t xml:space="preserve"> FOR IN VITRO LABORATORY USE ONLY</w:t>
      </w:r>
    </w:p>
    <w:p w:rsidR="00710811" w:rsidRPr="008B403F" w:rsidRDefault="00710811" w:rsidP="00710811">
      <w:pPr>
        <w:rPr>
          <w:sz w:val="18"/>
          <w:szCs w:val="18"/>
        </w:rPr>
      </w:pPr>
      <w:r w:rsidRPr="008B403F">
        <w:rPr>
          <w:sz w:val="18"/>
          <w:szCs w:val="18"/>
        </w:rPr>
        <w:t>“</w:t>
      </w:r>
      <w:r w:rsidRPr="008B403F">
        <w:rPr>
          <w:i/>
          <w:sz w:val="18"/>
          <w:szCs w:val="18"/>
        </w:rPr>
        <w:t>In vitro</w:t>
      </w:r>
      <w:r w:rsidRPr="008B403F">
        <w:rPr>
          <w:sz w:val="18"/>
          <w:szCs w:val="18"/>
        </w:rPr>
        <w:t xml:space="preserve"> laboratory products for research”</w:t>
      </w:r>
    </w:p>
    <w:p w:rsidR="00EE2BF8" w:rsidRDefault="00EE2BF8" w:rsidP="00EE2BF8">
      <w:pPr>
        <w:rPr>
          <w:sz w:val="20"/>
          <w:szCs w:val="20"/>
        </w:rPr>
      </w:pPr>
      <w:r>
        <w:rPr>
          <w:sz w:val="20"/>
          <w:szCs w:val="20"/>
        </w:rPr>
        <w:t xml:space="preserve">Phone: </w:t>
      </w:r>
      <w:r w:rsidR="00C25044">
        <w:rPr>
          <w:sz w:val="20"/>
          <w:szCs w:val="20"/>
        </w:rPr>
        <w:t xml:space="preserve">+ 425 367 4601; </w:t>
      </w:r>
      <w:r>
        <w:rPr>
          <w:sz w:val="20"/>
          <w:szCs w:val="20"/>
        </w:rPr>
        <w:t>Fax: + 425 367 4817; cell (mobile) phone: + 425 314 0199</w:t>
      </w:r>
    </w:p>
    <w:p w:rsidR="00EE2BF8" w:rsidRDefault="00EE2BF8" w:rsidP="00EE2BF8">
      <w:pPr>
        <w:rPr>
          <w:sz w:val="20"/>
          <w:szCs w:val="20"/>
        </w:rPr>
      </w:pPr>
      <w:r>
        <w:rPr>
          <w:sz w:val="20"/>
          <w:szCs w:val="20"/>
        </w:rPr>
        <w:t>Marketing phone: + 650 343 IBSC (4272); e-mail:anitaIBSC@aol.com</w:t>
      </w:r>
    </w:p>
    <w:p w:rsidR="00EE2BF8" w:rsidRDefault="00EE2BF8" w:rsidP="00EE2BF8">
      <w:pPr>
        <w:rPr>
          <w:sz w:val="20"/>
          <w:szCs w:val="20"/>
        </w:rPr>
      </w:pPr>
      <w:r>
        <w:rPr>
          <w:sz w:val="20"/>
          <w:szCs w:val="20"/>
        </w:rPr>
        <w:t xml:space="preserve">Web site: </w:t>
      </w:r>
      <w:hyperlink r:id="rId6" w:history="1">
        <w:r w:rsidRPr="00490AC5">
          <w:rPr>
            <w:rStyle w:val="Hyperlink"/>
            <w:color w:val="auto"/>
            <w:sz w:val="20"/>
            <w:szCs w:val="20"/>
          </w:rPr>
          <w:t>www.immunobioscience.com</w:t>
        </w:r>
      </w:hyperlink>
      <w:r w:rsidRPr="00490AC5">
        <w:t>;</w:t>
      </w:r>
      <w:r>
        <w:rPr>
          <w:sz w:val="20"/>
          <w:szCs w:val="20"/>
        </w:rPr>
        <w:t xml:space="preserve"> E-mail: baderbo@gmail.com</w:t>
      </w:r>
    </w:p>
    <w:p w:rsidR="00EE2BF8" w:rsidRDefault="00EE2BF8" w:rsidP="00EE2BF8">
      <w:pPr>
        <w:rPr>
          <w:sz w:val="20"/>
          <w:szCs w:val="20"/>
        </w:rPr>
      </w:pPr>
    </w:p>
    <w:p w:rsidR="00064B0F" w:rsidRPr="00B023B7" w:rsidRDefault="00064B0F" w:rsidP="00EE2BF8">
      <w:pPr>
        <w:rPr>
          <w:sz w:val="20"/>
          <w:szCs w:val="20"/>
        </w:rPr>
      </w:pPr>
    </w:p>
    <w:sectPr w:rsidR="00064B0F" w:rsidRPr="00B023B7" w:rsidSect="003E7F0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C0D"/>
    <w:multiLevelType w:val="hybridMultilevel"/>
    <w:tmpl w:val="2DF8F60A"/>
    <w:lvl w:ilvl="0" w:tplc="A75C134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057DD"/>
    <w:multiLevelType w:val="hybridMultilevel"/>
    <w:tmpl w:val="599C3746"/>
    <w:lvl w:ilvl="0" w:tplc="0C30E6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403D"/>
    <w:multiLevelType w:val="hybridMultilevel"/>
    <w:tmpl w:val="793C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6A43"/>
    <w:multiLevelType w:val="multilevel"/>
    <w:tmpl w:val="D01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82E68"/>
    <w:multiLevelType w:val="hybridMultilevel"/>
    <w:tmpl w:val="FAECD9C2"/>
    <w:lvl w:ilvl="0" w:tplc="85E04F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54814"/>
    <w:multiLevelType w:val="hybridMultilevel"/>
    <w:tmpl w:val="09C89A4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5705B"/>
    <w:multiLevelType w:val="hybridMultilevel"/>
    <w:tmpl w:val="0E24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5D6B"/>
    <w:multiLevelType w:val="hybridMultilevel"/>
    <w:tmpl w:val="644C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46A56"/>
    <w:multiLevelType w:val="hybridMultilevel"/>
    <w:tmpl w:val="34D41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250F6"/>
    <w:multiLevelType w:val="hybridMultilevel"/>
    <w:tmpl w:val="0AD63760"/>
    <w:lvl w:ilvl="0" w:tplc="E37CAA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FA170D"/>
    <w:multiLevelType w:val="hybridMultilevel"/>
    <w:tmpl w:val="793C67E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B2FC3"/>
    <w:multiLevelType w:val="hybridMultilevel"/>
    <w:tmpl w:val="747C27C4"/>
    <w:lvl w:ilvl="0" w:tplc="E0EA2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1"/>
  </w:num>
  <w:num w:numId="10">
    <w:abstractNumId w:val="9"/>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56BDC"/>
    <w:rsid w:val="00005C1F"/>
    <w:rsid w:val="00011D1B"/>
    <w:rsid w:val="000212C7"/>
    <w:rsid w:val="00045B1D"/>
    <w:rsid w:val="00054152"/>
    <w:rsid w:val="00064B0F"/>
    <w:rsid w:val="000B45BE"/>
    <w:rsid w:val="001354F9"/>
    <w:rsid w:val="001604B1"/>
    <w:rsid w:val="00165F51"/>
    <w:rsid w:val="00172DA4"/>
    <w:rsid w:val="001B5E8F"/>
    <w:rsid w:val="001C0091"/>
    <w:rsid w:val="001C0DC7"/>
    <w:rsid w:val="001D5E25"/>
    <w:rsid w:val="001F65A2"/>
    <w:rsid w:val="00236EC5"/>
    <w:rsid w:val="00243651"/>
    <w:rsid w:val="002630C8"/>
    <w:rsid w:val="002642A9"/>
    <w:rsid w:val="002672E3"/>
    <w:rsid w:val="0028621A"/>
    <w:rsid w:val="002B70CC"/>
    <w:rsid w:val="002C692B"/>
    <w:rsid w:val="002E1C0E"/>
    <w:rsid w:val="002E30BC"/>
    <w:rsid w:val="00301EDF"/>
    <w:rsid w:val="003032E5"/>
    <w:rsid w:val="0031515B"/>
    <w:rsid w:val="00322D6B"/>
    <w:rsid w:val="00344218"/>
    <w:rsid w:val="00360076"/>
    <w:rsid w:val="00363670"/>
    <w:rsid w:val="0036672A"/>
    <w:rsid w:val="00380421"/>
    <w:rsid w:val="00383C36"/>
    <w:rsid w:val="00393C7D"/>
    <w:rsid w:val="003A4BD2"/>
    <w:rsid w:val="003B247A"/>
    <w:rsid w:val="003C00FD"/>
    <w:rsid w:val="003C7E0B"/>
    <w:rsid w:val="003D47AD"/>
    <w:rsid w:val="003E19BA"/>
    <w:rsid w:val="003E7F0B"/>
    <w:rsid w:val="00402559"/>
    <w:rsid w:val="0041044E"/>
    <w:rsid w:val="00425A9A"/>
    <w:rsid w:val="00440257"/>
    <w:rsid w:val="00453DE3"/>
    <w:rsid w:val="00465E93"/>
    <w:rsid w:val="0047026C"/>
    <w:rsid w:val="00475744"/>
    <w:rsid w:val="0048131F"/>
    <w:rsid w:val="00490AC5"/>
    <w:rsid w:val="0049199D"/>
    <w:rsid w:val="004C0034"/>
    <w:rsid w:val="004C67E1"/>
    <w:rsid w:val="004E4087"/>
    <w:rsid w:val="004F146E"/>
    <w:rsid w:val="0050420A"/>
    <w:rsid w:val="005119EA"/>
    <w:rsid w:val="00511B7C"/>
    <w:rsid w:val="00515BC2"/>
    <w:rsid w:val="0054191B"/>
    <w:rsid w:val="00542558"/>
    <w:rsid w:val="005671BD"/>
    <w:rsid w:val="00583663"/>
    <w:rsid w:val="005876AD"/>
    <w:rsid w:val="005B4607"/>
    <w:rsid w:val="005C204C"/>
    <w:rsid w:val="005C564D"/>
    <w:rsid w:val="005D0EC7"/>
    <w:rsid w:val="005D207B"/>
    <w:rsid w:val="005E7E3B"/>
    <w:rsid w:val="00615AB8"/>
    <w:rsid w:val="00616743"/>
    <w:rsid w:val="00624006"/>
    <w:rsid w:val="00626B3A"/>
    <w:rsid w:val="006424D6"/>
    <w:rsid w:val="00645FD2"/>
    <w:rsid w:val="00656BDC"/>
    <w:rsid w:val="00661CAA"/>
    <w:rsid w:val="00664CDF"/>
    <w:rsid w:val="0069322E"/>
    <w:rsid w:val="006C0512"/>
    <w:rsid w:val="006C1AF7"/>
    <w:rsid w:val="006C2E23"/>
    <w:rsid w:val="006C3838"/>
    <w:rsid w:val="006C53B9"/>
    <w:rsid w:val="006D628A"/>
    <w:rsid w:val="006E3637"/>
    <w:rsid w:val="006F5B6C"/>
    <w:rsid w:val="00702DF0"/>
    <w:rsid w:val="00710811"/>
    <w:rsid w:val="00710D75"/>
    <w:rsid w:val="007110F9"/>
    <w:rsid w:val="007204C5"/>
    <w:rsid w:val="00720AB4"/>
    <w:rsid w:val="00751496"/>
    <w:rsid w:val="00765AEA"/>
    <w:rsid w:val="0079342C"/>
    <w:rsid w:val="007C42A3"/>
    <w:rsid w:val="00800F16"/>
    <w:rsid w:val="00806DF1"/>
    <w:rsid w:val="0086506A"/>
    <w:rsid w:val="00875FF8"/>
    <w:rsid w:val="00876B7A"/>
    <w:rsid w:val="00876E3C"/>
    <w:rsid w:val="00885502"/>
    <w:rsid w:val="00890FA9"/>
    <w:rsid w:val="008918C2"/>
    <w:rsid w:val="00894AFC"/>
    <w:rsid w:val="008A2927"/>
    <w:rsid w:val="008A7BAF"/>
    <w:rsid w:val="008B0A26"/>
    <w:rsid w:val="008B203D"/>
    <w:rsid w:val="008B20E5"/>
    <w:rsid w:val="008B403F"/>
    <w:rsid w:val="008C4F50"/>
    <w:rsid w:val="008C7CEE"/>
    <w:rsid w:val="008D044B"/>
    <w:rsid w:val="008D1B41"/>
    <w:rsid w:val="008E408D"/>
    <w:rsid w:val="008F3D03"/>
    <w:rsid w:val="008F6672"/>
    <w:rsid w:val="00903127"/>
    <w:rsid w:val="00943EB4"/>
    <w:rsid w:val="00957456"/>
    <w:rsid w:val="00965576"/>
    <w:rsid w:val="00973F3F"/>
    <w:rsid w:val="00976004"/>
    <w:rsid w:val="0098623E"/>
    <w:rsid w:val="00992580"/>
    <w:rsid w:val="00993D9C"/>
    <w:rsid w:val="00995586"/>
    <w:rsid w:val="0099681E"/>
    <w:rsid w:val="009A353E"/>
    <w:rsid w:val="009A3D64"/>
    <w:rsid w:val="009A4F84"/>
    <w:rsid w:val="009A72F0"/>
    <w:rsid w:val="009B1E92"/>
    <w:rsid w:val="009B64D3"/>
    <w:rsid w:val="009C173C"/>
    <w:rsid w:val="009D4CFC"/>
    <w:rsid w:val="009D6C36"/>
    <w:rsid w:val="009D749B"/>
    <w:rsid w:val="009D7E60"/>
    <w:rsid w:val="009F742D"/>
    <w:rsid w:val="00A05460"/>
    <w:rsid w:val="00A05E6E"/>
    <w:rsid w:val="00A118BE"/>
    <w:rsid w:val="00A220A7"/>
    <w:rsid w:val="00A24CD6"/>
    <w:rsid w:val="00A27774"/>
    <w:rsid w:val="00A73BB5"/>
    <w:rsid w:val="00A91402"/>
    <w:rsid w:val="00AC59F2"/>
    <w:rsid w:val="00AD5E8F"/>
    <w:rsid w:val="00AE07BF"/>
    <w:rsid w:val="00B01DDA"/>
    <w:rsid w:val="00B023B7"/>
    <w:rsid w:val="00B40D20"/>
    <w:rsid w:val="00B54BA6"/>
    <w:rsid w:val="00B60D6B"/>
    <w:rsid w:val="00B75205"/>
    <w:rsid w:val="00B93C29"/>
    <w:rsid w:val="00BA4664"/>
    <w:rsid w:val="00BA4A17"/>
    <w:rsid w:val="00BB5268"/>
    <w:rsid w:val="00BD3D19"/>
    <w:rsid w:val="00BE174D"/>
    <w:rsid w:val="00BF52B8"/>
    <w:rsid w:val="00C04ACA"/>
    <w:rsid w:val="00C11E74"/>
    <w:rsid w:val="00C25044"/>
    <w:rsid w:val="00C3058B"/>
    <w:rsid w:val="00C34DFF"/>
    <w:rsid w:val="00C36D8B"/>
    <w:rsid w:val="00C37602"/>
    <w:rsid w:val="00C411E9"/>
    <w:rsid w:val="00C743E3"/>
    <w:rsid w:val="00CA0BCD"/>
    <w:rsid w:val="00CB2B84"/>
    <w:rsid w:val="00CB6907"/>
    <w:rsid w:val="00CD5623"/>
    <w:rsid w:val="00D043ED"/>
    <w:rsid w:val="00D123A8"/>
    <w:rsid w:val="00D21205"/>
    <w:rsid w:val="00D2397B"/>
    <w:rsid w:val="00D94AA2"/>
    <w:rsid w:val="00DA2BB8"/>
    <w:rsid w:val="00DA6864"/>
    <w:rsid w:val="00DC394C"/>
    <w:rsid w:val="00DC665C"/>
    <w:rsid w:val="00DC6B2A"/>
    <w:rsid w:val="00DE7364"/>
    <w:rsid w:val="00DF2240"/>
    <w:rsid w:val="00DF5597"/>
    <w:rsid w:val="00DF7709"/>
    <w:rsid w:val="00E029E8"/>
    <w:rsid w:val="00E303A5"/>
    <w:rsid w:val="00E414B0"/>
    <w:rsid w:val="00E61A00"/>
    <w:rsid w:val="00E81F2D"/>
    <w:rsid w:val="00EA1CD2"/>
    <w:rsid w:val="00EA226C"/>
    <w:rsid w:val="00EA26B0"/>
    <w:rsid w:val="00EA66D7"/>
    <w:rsid w:val="00EC0A0C"/>
    <w:rsid w:val="00ED5399"/>
    <w:rsid w:val="00ED5DCF"/>
    <w:rsid w:val="00EE2BF8"/>
    <w:rsid w:val="00EE2E7F"/>
    <w:rsid w:val="00EE32E6"/>
    <w:rsid w:val="00EF3BCB"/>
    <w:rsid w:val="00EF7F1C"/>
    <w:rsid w:val="00F05C98"/>
    <w:rsid w:val="00F06700"/>
    <w:rsid w:val="00F2676D"/>
    <w:rsid w:val="00F34A53"/>
    <w:rsid w:val="00F431A5"/>
    <w:rsid w:val="00F47816"/>
    <w:rsid w:val="00F5068B"/>
    <w:rsid w:val="00F63A2E"/>
    <w:rsid w:val="00FB5BE6"/>
    <w:rsid w:val="00FD238E"/>
    <w:rsid w:val="00FD5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D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7574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6BDC"/>
    <w:rPr>
      <w:color w:val="0000FF"/>
      <w:u w:val="single"/>
    </w:rPr>
  </w:style>
  <w:style w:type="paragraph" w:styleId="NormalWeb">
    <w:name w:val="Normal (Web)"/>
    <w:basedOn w:val="Normal"/>
    <w:uiPriority w:val="99"/>
    <w:unhideWhenUsed/>
    <w:rsid w:val="00EF7F1C"/>
    <w:pPr>
      <w:spacing w:before="100" w:beforeAutospacing="1" w:after="100" w:afterAutospacing="1"/>
    </w:pPr>
  </w:style>
  <w:style w:type="character" w:customStyle="1" w:styleId="plainlinks">
    <w:name w:val="plainlinks"/>
    <w:basedOn w:val="DefaultParagraphFont"/>
    <w:rsid w:val="00EF7F1C"/>
  </w:style>
  <w:style w:type="paragraph" w:styleId="BalloonText">
    <w:name w:val="Balloon Text"/>
    <w:basedOn w:val="Normal"/>
    <w:link w:val="BalloonTextChar"/>
    <w:uiPriority w:val="99"/>
    <w:semiHidden/>
    <w:unhideWhenUsed/>
    <w:rsid w:val="00EF7F1C"/>
    <w:rPr>
      <w:rFonts w:ascii="Tahoma" w:hAnsi="Tahoma" w:cs="Tahoma"/>
      <w:sz w:val="16"/>
      <w:szCs w:val="16"/>
    </w:rPr>
  </w:style>
  <w:style w:type="character" w:customStyle="1" w:styleId="BalloonTextChar">
    <w:name w:val="Balloon Text Char"/>
    <w:basedOn w:val="DefaultParagraphFont"/>
    <w:link w:val="BalloonText"/>
    <w:uiPriority w:val="99"/>
    <w:semiHidden/>
    <w:rsid w:val="00EF7F1C"/>
    <w:rPr>
      <w:rFonts w:ascii="Tahoma" w:eastAsia="Times New Roman" w:hAnsi="Tahoma" w:cs="Tahoma"/>
      <w:sz w:val="16"/>
      <w:szCs w:val="16"/>
    </w:rPr>
  </w:style>
  <w:style w:type="paragraph" w:styleId="ListParagraph">
    <w:name w:val="List Paragraph"/>
    <w:basedOn w:val="Normal"/>
    <w:uiPriority w:val="34"/>
    <w:qFormat/>
    <w:rsid w:val="005E7E3B"/>
    <w:pPr>
      <w:ind w:left="720"/>
      <w:contextualSpacing/>
    </w:pPr>
  </w:style>
  <w:style w:type="character" w:styleId="PlaceholderText">
    <w:name w:val="Placeholder Text"/>
    <w:basedOn w:val="DefaultParagraphFont"/>
    <w:uiPriority w:val="99"/>
    <w:semiHidden/>
    <w:rsid w:val="00A05E6E"/>
    <w:rPr>
      <w:color w:val="808080"/>
    </w:rPr>
  </w:style>
  <w:style w:type="character" w:customStyle="1" w:styleId="Heading2Char">
    <w:name w:val="Heading 2 Char"/>
    <w:basedOn w:val="DefaultParagraphFont"/>
    <w:link w:val="Heading2"/>
    <w:uiPriority w:val="9"/>
    <w:rsid w:val="00475744"/>
    <w:rPr>
      <w:rFonts w:ascii="Times New Roman" w:eastAsia="Times New Roman" w:hAnsi="Times New Roman" w:cs="Times New Roman"/>
      <w:b/>
      <w:bCs/>
      <w:sz w:val="36"/>
      <w:szCs w:val="36"/>
    </w:rPr>
  </w:style>
  <w:style w:type="character" w:customStyle="1" w:styleId="toctoggle">
    <w:name w:val="toctoggle"/>
    <w:basedOn w:val="DefaultParagraphFont"/>
    <w:rsid w:val="00475744"/>
  </w:style>
  <w:style w:type="character" w:customStyle="1" w:styleId="tocnumber">
    <w:name w:val="tocnumber"/>
    <w:basedOn w:val="DefaultParagraphFont"/>
    <w:rsid w:val="00475744"/>
  </w:style>
  <w:style w:type="character" w:customStyle="1" w:styleId="toctext">
    <w:name w:val="toctext"/>
    <w:basedOn w:val="DefaultParagraphFont"/>
    <w:rsid w:val="00475744"/>
  </w:style>
  <w:style w:type="character" w:customStyle="1" w:styleId="editsection">
    <w:name w:val="editsection"/>
    <w:basedOn w:val="DefaultParagraphFont"/>
    <w:rsid w:val="00475744"/>
  </w:style>
  <w:style w:type="character" w:customStyle="1" w:styleId="mw-headline">
    <w:name w:val="mw-headline"/>
    <w:basedOn w:val="DefaultParagraphFont"/>
    <w:rsid w:val="00475744"/>
  </w:style>
  <w:style w:type="character" w:styleId="IntenseEmphasis">
    <w:name w:val="Intense Emphasis"/>
    <w:basedOn w:val="DefaultParagraphFont"/>
    <w:uiPriority w:val="21"/>
    <w:qFormat/>
    <w:rsid w:val="00710D75"/>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64487572">
      <w:bodyDiv w:val="1"/>
      <w:marLeft w:val="0"/>
      <w:marRight w:val="0"/>
      <w:marTop w:val="0"/>
      <w:marBottom w:val="0"/>
      <w:divBdr>
        <w:top w:val="none" w:sz="0" w:space="0" w:color="auto"/>
        <w:left w:val="none" w:sz="0" w:space="0" w:color="auto"/>
        <w:bottom w:val="none" w:sz="0" w:space="0" w:color="auto"/>
        <w:right w:val="none" w:sz="0" w:space="0" w:color="auto"/>
      </w:divBdr>
    </w:div>
    <w:div w:id="1168323056">
      <w:bodyDiv w:val="1"/>
      <w:marLeft w:val="0"/>
      <w:marRight w:val="0"/>
      <w:marTop w:val="0"/>
      <w:marBottom w:val="0"/>
      <w:divBdr>
        <w:top w:val="none" w:sz="0" w:space="0" w:color="auto"/>
        <w:left w:val="none" w:sz="0" w:space="0" w:color="auto"/>
        <w:bottom w:val="none" w:sz="0" w:space="0" w:color="auto"/>
        <w:right w:val="none" w:sz="0" w:space="0" w:color="auto"/>
      </w:divBdr>
    </w:div>
    <w:div w:id="1206211558">
      <w:bodyDiv w:val="1"/>
      <w:marLeft w:val="0"/>
      <w:marRight w:val="0"/>
      <w:marTop w:val="0"/>
      <w:marBottom w:val="0"/>
      <w:divBdr>
        <w:top w:val="none" w:sz="0" w:space="0" w:color="auto"/>
        <w:left w:val="none" w:sz="0" w:space="0" w:color="auto"/>
        <w:bottom w:val="none" w:sz="0" w:space="0" w:color="auto"/>
        <w:right w:val="none" w:sz="0" w:space="0" w:color="auto"/>
      </w:divBdr>
      <w:divsChild>
        <w:div w:id="675570140">
          <w:marLeft w:val="0"/>
          <w:marRight w:val="0"/>
          <w:marTop w:val="0"/>
          <w:marBottom w:val="0"/>
          <w:divBdr>
            <w:top w:val="none" w:sz="0" w:space="0" w:color="auto"/>
            <w:left w:val="none" w:sz="0" w:space="0" w:color="auto"/>
            <w:bottom w:val="none" w:sz="0" w:space="0" w:color="auto"/>
            <w:right w:val="none" w:sz="0" w:space="0" w:color="auto"/>
          </w:divBdr>
        </w:div>
      </w:divsChild>
    </w:div>
    <w:div w:id="1926651437">
      <w:bodyDiv w:val="1"/>
      <w:marLeft w:val="0"/>
      <w:marRight w:val="0"/>
      <w:marTop w:val="0"/>
      <w:marBottom w:val="0"/>
      <w:divBdr>
        <w:top w:val="none" w:sz="0" w:space="0" w:color="auto"/>
        <w:left w:val="none" w:sz="0" w:space="0" w:color="auto"/>
        <w:bottom w:val="none" w:sz="0" w:space="0" w:color="auto"/>
        <w:right w:val="none" w:sz="0" w:space="0" w:color="auto"/>
      </w:divBdr>
    </w:div>
    <w:div w:id="1952123894">
      <w:bodyDiv w:val="1"/>
      <w:marLeft w:val="0"/>
      <w:marRight w:val="0"/>
      <w:marTop w:val="0"/>
      <w:marBottom w:val="0"/>
      <w:divBdr>
        <w:top w:val="none" w:sz="0" w:space="0" w:color="auto"/>
        <w:left w:val="none" w:sz="0" w:space="0" w:color="auto"/>
        <w:bottom w:val="none" w:sz="0" w:space="0" w:color="auto"/>
        <w:right w:val="none" w:sz="0" w:space="0" w:color="auto"/>
      </w:divBdr>
      <w:divsChild>
        <w:div w:id="302934041">
          <w:marLeft w:val="0"/>
          <w:marRight w:val="0"/>
          <w:marTop w:val="0"/>
          <w:marBottom w:val="0"/>
          <w:divBdr>
            <w:top w:val="none" w:sz="0" w:space="0" w:color="auto"/>
            <w:left w:val="none" w:sz="0" w:space="0" w:color="auto"/>
            <w:bottom w:val="none" w:sz="0" w:space="0" w:color="auto"/>
            <w:right w:val="none" w:sz="0" w:space="0" w:color="auto"/>
          </w:divBdr>
        </w:div>
      </w:divsChild>
    </w:div>
    <w:div w:id="1976835997">
      <w:bodyDiv w:val="1"/>
      <w:marLeft w:val="0"/>
      <w:marRight w:val="0"/>
      <w:marTop w:val="0"/>
      <w:marBottom w:val="0"/>
      <w:divBdr>
        <w:top w:val="none" w:sz="0" w:space="0" w:color="auto"/>
        <w:left w:val="none" w:sz="0" w:space="0" w:color="auto"/>
        <w:bottom w:val="none" w:sz="0" w:space="0" w:color="auto"/>
        <w:right w:val="none" w:sz="0" w:space="0" w:color="auto"/>
      </w:divBdr>
    </w:div>
    <w:div w:id="2061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munobiosc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EEDB-9348-491A-A77A-D0306121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Immunnobioscience</dc:creator>
  <cp:lastModifiedBy>Immunnobioscience</cp:lastModifiedBy>
  <cp:revision>20</cp:revision>
  <cp:lastPrinted>2014-03-03T20:03:00Z</cp:lastPrinted>
  <dcterms:created xsi:type="dcterms:W3CDTF">2008-12-05T01:01:00Z</dcterms:created>
  <dcterms:modified xsi:type="dcterms:W3CDTF">2014-10-30T18:08:00Z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-1775203363</vt:i4>
  </property>
</Properties>
</file>