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1"/>
        <w:gridCol w:w="3260"/>
        <w:gridCol w:w="1206"/>
      </w:tblGrid>
      <w:tr w:rsidR="0071092F" w14:paraId="295ECCF0" w14:textId="77777777" w:rsidTr="00983AF6">
        <w:trPr>
          <w:trHeight w:val="415"/>
        </w:trPr>
        <w:tc>
          <w:tcPr>
            <w:tcW w:w="1161" w:type="dxa"/>
            <w:vMerge w:val="restart"/>
          </w:tcPr>
          <w:p w14:paraId="6AD86C4E" w14:textId="6BD1FE41" w:rsidR="0071092F" w:rsidRDefault="00033408">
            <w:pPr>
              <w:pStyle w:val="TableParagraph"/>
              <w:jc w:val="left"/>
              <w:rPr>
                <w:rFonts w:ascii="Times New Roman"/>
                <w:sz w:val="16"/>
              </w:rPr>
            </w:pPr>
            <w:r>
              <w:rPr>
                <w:noProof/>
                <w:sz w:val="18"/>
                <w:szCs w:val="18"/>
              </w:rPr>
              <w:drawing>
                <wp:anchor distT="0" distB="0" distL="114300" distR="114300" simplePos="0" relativeHeight="251658240" behindDoc="1" locked="0" layoutInCell="1" allowOverlap="1" wp14:anchorId="2CC12F22" wp14:editId="0BF80198">
                  <wp:simplePos x="0" y="0"/>
                  <wp:positionH relativeFrom="column">
                    <wp:posOffset>6985</wp:posOffset>
                  </wp:positionH>
                  <wp:positionV relativeFrom="paragraph">
                    <wp:posOffset>3810</wp:posOffset>
                  </wp:positionV>
                  <wp:extent cx="723900" cy="713105"/>
                  <wp:effectExtent l="0" t="0" r="0" b="0"/>
                  <wp:wrapTight wrapText="bothSides">
                    <wp:wrapPolygon edited="0">
                      <wp:start x="0" y="0"/>
                      <wp:lineTo x="0" y="20773"/>
                      <wp:lineTo x="21032" y="20773"/>
                      <wp:lineTo x="21032"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900" cy="713105"/>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0BBFE5CC" w14:textId="2B1257AD" w:rsidR="0071092F" w:rsidRPr="00870462" w:rsidRDefault="00AA7C15">
            <w:pPr>
              <w:pStyle w:val="TableParagraph"/>
              <w:spacing w:before="2"/>
              <w:ind w:left="226" w:right="213"/>
              <w:rPr>
                <w:b/>
                <w:bCs/>
                <w:sz w:val="32"/>
                <w:szCs w:val="32"/>
              </w:rPr>
            </w:pPr>
            <w:r w:rsidRPr="00870462">
              <w:rPr>
                <w:b/>
                <w:bCs/>
                <w:sz w:val="32"/>
                <w:szCs w:val="32"/>
              </w:rPr>
              <w:t>C</w:t>
            </w:r>
            <w:r w:rsidR="00983AF6">
              <w:rPr>
                <w:b/>
                <w:bCs/>
                <w:sz w:val="32"/>
                <w:szCs w:val="32"/>
              </w:rPr>
              <w:t xml:space="preserve">lementine &amp; Sparkling Bubbles </w:t>
            </w:r>
          </w:p>
        </w:tc>
        <w:tc>
          <w:tcPr>
            <w:tcW w:w="1206" w:type="dxa"/>
            <w:vMerge w:val="restart"/>
          </w:tcPr>
          <w:p w14:paraId="5BDF8784" w14:textId="27BAAF30" w:rsidR="0071092F" w:rsidRDefault="00AA7C15">
            <w:pPr>
              <w:pStyle w:val="TableParagraph"/>
              <w:jc w:val="left"/>
              <w:rPr>
                <w:rFonts w:ascii="Times New Roman"/>
                <w:sz w:val="16"/>
              </w:rPr>
            </w:pPr>
            <w:r>
              <w:rPr>
                <w:rFonts w:ascii="Times New Roman"/>
                <w:noProof/>
                <w:sz w:val="16"/>
              </w:rPr>
              <w:drawing>
                <wp:anchor distT="0" distB="0" distL="114300" distR="114300" simplePos="0" relativeHeight="251659264" behindDoc="1" locked="0" layoutInCell="1" allowOverlap="1" wp14:anchorId="3FDF8E2B" wp14:editId="00937E7D">
                  <wp:simplePos x="0" y="0"/>
                  <wp:positionH relativeFrom="column">
                    <wp:posOffset>13335</wp:posOffset>
                  </wp:positionH>
                  <wp:positionV relativeFrom="paragraph">
                    <wp:posOffset>6350</wp:posOffset>
                  </wp:positionV>
                  <wp:extent cx="746125" cy="742950"/>
                  <wp:effectExtent l="0" t="0" r="0" b="0"/>
                  <wp:wrapTight wrapText="bothSides">
                    <wp:wrapPolygon edited="0">
                      <wp:start x="0" y="0"/>
                      <wp:lineTo x="0" y="21046"/>
                      <wp:lineTo x="20957" y="21046"/>
                      <wp:lineTo x="20957" y="0"/>
                      <wp:lineTo x="0" y="0"/>
                    </wp:wrapPolygon>
                  </wp:wrapTight>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125" cy="742950"/>
                          </a:xfrm>
                          <a:prstGeom prst="rect">
                            <a:avLst/>
                          </a:prstGeom>
                        </pic:spPr>
                      </pic:pic>
                    </a:graphicData>
                  </a:graphic>
                  <wp14:sizeRelH relativeFrom="margin">
                    <wp14:pctWidth>0</wp14:pctWidth>
                  </wp14:sizeRelH>
                  <wp14:sizeRelV relativeFrom="margin">
                    <wp14:pctHeight>0</wp14:pctHeight>
                  </wp14:sizeRelV>
                </wp:anchor>
              </w:drawing>
            </w:r>
          </w:p>
        </w:tc>
      </w:tr>
      <w:tr w:rsidR="0071092F" w14:paraId="208DF6BB" w14:textId="77777777" w:rsidTr="00983AF6">
        <w:trPr>
          <w:trHeight w:val="280"/>
        </w:trPr>
        <w:tc>
          <w:tcPr>
            <w:tcW w:w="1161" w:type="dxa"/>
            <w:vMerge/>
            <w:tcBorders>
              <w:top w:val="nil"/>
            </w:tcBorders>
          </w:tcPr>
          <w:p w14:paraId="34E8E1F0" w14:textId="77777777" w:rsidR="0071092F" w:rsidRDefault="0071092F">
            <w:pPr>
              <w:rPr>
                <w:sz w:val="2"/>
                <w:szCs w:val="2"/>
              </w:rPr>
            </w:pPr>
          </w:p>
        </w:tc>
        <w:tc>
          <w:tcPr>
            <w:tcW w:w="3260" w:type="dxa"/>
          </w:tcPr>
          <w:p w14:paraId="65308A5A" w14:textId="13BCEF3E" w:rsidR="0071092F" w:rsidRPr="00870462" w:rsidRDefault="00AA7C15">
            <w:pPr>
              <w:pStyle w:val="TableParagraph"/>
              <w:spacing w:before="2"/>
              <w:ind w:left="215" w:right="215"/>
              <w:rPr>
                <w:b/>
                <w:bCs/>
                <w:sz w:val="24"/>
                <w:szCs w:val="24"/>
              </w:rPr>
            </w:pPr>
            <w:r w:rsidRPr="00870462">
              <w:rPr>
                <w:b/>
                <w:bCs/>
                <w:sz w:val="24"/>
                <w:szCs w:val="24"/>
              </w:rPr>
              <w:t>Warning</w:t>
            </w:r>
          </w:p>
        </w:tc>
        <w:tc>
          <w:tcPr>
            <w:tcW w:w="1206" w:type="dxa"/>
            <w:vMerge/>
            <w:tcBorders>
              <w:top w:val="nil"/>
            </w:tcBorders>
          </w:tcPr>
          <w:p w14:paraId="12389A8E" w14:textId="77777777" w:rsidR="0071092F" w:rsidRDefault="0071092F">
            <w:pPr>
              <w:rPr>
                <w:sz w:val="2"/>
                <w:szCs w:val="2"/>
              </w:rPr>
            </w:pPr>
          </w:p>
        </w:tc>
      </w:tr>
      <w:tr w:rsidR="0071092F" w14:paraId="5DB31FC9" w14:textId="77777777" w:rsidTr="00983AF6">
        <w:trPr>
          <w:trHeight w:val="2275"/>
        </w:trPr>
        <w:tc>
          <w:tcPr>
            <w:tcW w:w="1161" w:type="dxa"/>
            <w:vMerge/>
            <w:tcBorders>
              <w:top w:val="nil"/>
            </w:tcBorders>
          </w:tcPr>
          <w:p w14:paraId="013F1FCE" w14:textId="77777777" w:rsidR="0071092F" w:rsidRDefault="0071092F">
            <w:pPr>
              <w:rPr>
                <w:sz w:val="2"/>
                <w:szCs w:val="2"/>
              </w:rPr>
            </w:pPr>
          </w:p>
        </w:tc>
        <w:tc>
          <w:tcPr>
            <w:tcW w:w="3260" w:type="dxa"/>
          </w:tcPr>
          <w:p w14:paraId="4FA0DAF9" w14:textId="4681792B" w:rsidR="0071092F" w:rsidRPr="00870462" w:rsidRDefault="00983AF6" w:rsidP="00BB560C">
            <w:pPr>
              <w:jc w:val="center"/>
              <w:rPr>
                <w:sz w:val="14"/>
                <w:szCs w:val="14"/>
              </w:rPr>
            </w:pPr>
            <w:r w:rsidRPr="00983AF6">
              <w:rPr>
                <w:sz w:val="14"/>
                <w:szCs w:val="14"/>
              </w:rPr>
              <w:t>May cause an allergic skin reaction Causes serious eye irritation Toxic to aquatic life with long lasting effects Avoid release to the environment. Wear protective gloves and eye protection IF ON SKIN: Wash with plenty of water. If skin irritation or rash occurs: Get medical advice. If eye irritation persists: Get medical attention. Dispose of contents and container in accordance with local regulation.</w:t>
            </w:r>
          </w:p>
        </w:tc>
        <w:tc>
          <w:tcPr>
            <w:tcW w:w="1206" w:type="dxa"/>
            <w:vMerge/>
            <w:tcBorders>
              <w:top w:val="nil"/>
            </w:tcBorders>
          </w:tcPr>
          <w:p w14:paraId="68FD6FB3" w14:textId="77777777" w:rsidR="0071092F" w:rsidRDefault="0071092F">
            <w:pPr>
              <w:rPr>
                <w:sz w:val="2"/>
                <w:szCs w:val="2"/>
              </w:rPr>
            </w:pPr>
          </w:p>
        </w:tc>
      </w:tr>
      <w:tr w:rsidR="0071092F" w14:paraId="4C148D9A" w14:textId="77777777">
        <w:trPr>
          <w:trHeight w:val="707"/>
        </w:trPr>
        <w:tc>
          <w:tcPr>
            <w:tcW w:w="5627" w:type="dxa"/>
            <w:gridSpan w:val="3"/>
          </w:tcPr>
          <w:p w14:paraId="3BD7423A" w14:textId="45B524CA" w:rsidR="00870462" w:rsidRPr="00870462" w:rsidRDefault="00983AF6" w:rsidP="00870462">
            <w:pPr>
              <w:jc w:val="center"/>
              <w:rPr>
                <w:sz w:val="16"/>
                <w:szCs w:val="16"/>
              </w:rPr>
            </w:pPr>
            <w:r w:rsidRPr="00983AF6">
              <w:rPr>
                <w:sz w:val="16"/>
                <w:szCs w:val="16"/>
              </w:rPr>
              <w:t>Contains d-Limonene (p-Mentha-1,8-diene</w:t>
            </w:r>
            <w:proofErr w:type="gramStart"/>
            <w:r w:rsidRPr="00983AF6">
              <w:rPr>
                <w:sz w:val="16"/>
                <w:szCs w:val="16"/>
              </w:rPr>
              <w:t>) ,</w:t>
            </w:r>
            <w:proofErr w:type="gramEnd"/>
            <w:r w:rsidRPr="00983AF6">
              <w:rPr>
                <w:sz w:val="16"/>
                <w:szCs w:val="16"/>
              </w:rPr>
              <w:t xml:space="preserve"> </w:t>
            </w:r>
            <w:proofErr w:type="spellStart"/>
            <w:r w:rsidRPr="00983AF6">
              <w:rPr>
                <w:sz w:val="16"/>
                <w:szCs w:val="16"/>
              </w:rPr>
              <w:t>Citral</w:t>
            </w:r>
            <w:proofErr w:type="spellEnd"/>
            <w:r w:rsidRPr="00983AF6">
              <w:rPr>
                <w:sz w:val="16"/>
                <w:szCs w:val="16"/>
              </w:rPr>
              <w:t>, Geranyl acetate and Anethol (isomer unspecified) (Anethole). May produce an allergic reaction</w:t>
            </w:r>
            <w:r>
              <w:rPr>
                <w:sz w:val="16"/>
                <w:szCs w:val="16"/>
              </w:rPr>
              <w:t>.</w:t>
            </w:r>
          </w:p>
        </w:tc>
      </w:tr>
      <w:tr w:rsidR="0071092F" w14:paraId="444564EB" w14:textId="77777777">
        <w:trPr>
          <w:trHeight w:val="855"/>
        </w:trPr>
        <w:tc>
          <w:tcPr>
            <w:tcW w:w="5627"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59BEA5BC"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71092F"/>
    <w:rsid w:val="00870462"/>
    <w:rsid w:val="00983AF6"/>
    <w:rsid w:val="00A31346"/>
    <w:rsid w:val="00AA7C15"/>
    <w:rsid w:val="00BB560C"/>
    <w:rsid w:val="00D82AE3"/>
    <w:rsid w:val="00D94119"/>
    <w:rsid w:val="00DE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Randall</dc:creator>
  <cp:lastModifiedBy>Contact - Randall's Candles</cp:lastModifiedBy>
  <cp:revision>4</cp:revision>
  <dcterms:created xsi:type="dcterms:W3CDTF">2020-12-15T15:32:00Z</dcterms:created>
  <dcterms:modified xsi:type="dcterms:W3CDTF">2023-08-22T11:54:00Z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